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CBFB0">
      <w:pPr>
        <w:spacing w:line="360" w:lineRule="auto"/>
        <w:ind w:right="105"/>
        <w:jc w:val="center"/>
        <w:rPr>
          <w:rFonts w:hint="eastAsia" w:ascii="黑体" w:eastAsia="黑体"/>
          <w:sz w:val="21"/>
          <w:szCs w:val="21"/>
        </w:rPr>
      </w:pPr>
      <w:bookmarkStart w:id="0" w:name="_Hlk166502969"/>
    </w:p>
    <w:p w14:paraId="595736BC">
      <w:pPr>
        <w:spacing w:line="360" w:lineRule="auto"/>
        <w:ind w:right="105"/>
        <w:jc w:val="center"/>
        <w:rPr>
          <w:rFonts w:hint="eastAsia" w:ascii="黑体" w:eastAsia="黑体"/>
          <w:sz w:val="21"/>
          <w:szCs w:val="21"/>
        </w:rPr>
      </w:pPr>
    </w:p>
    <w:p w14:paraId="1DFF487B">
      <w:pPr>
        <w:spacing w:line="360" w:lineRule="auto"/>
        <w:ind w:right="105"/>
        <w:jc w:val="center"/>
        <w:rPr>
          <w:rFonts w:hint="eastAsia" w:ascii="黑体" w:eastAsia="黑体"/>
          <w:sz w:val="21"/>
          <w:szCs w:val="21"/>
        </w:rPr>
      </w:pPr>
    </w:p>
    <w:p w14:paraId="579A9880">
      <w:pPr>
        <w:spacing w:line="360" w:lineRule="auto"/>
        <w:ind w:right="105"/>
        <w:jc w:val="center"/>
        <w:rPr>
          <w:rFonts w:hint="eastAsia" w:ascii="黑体" w:eastAsia="黑体"/>
          <w:sz w:val="21"/>
          <w:szCs w:val="21"/>
        </w:rPr>
      </w:pPr>
    </w:p>
    <w:p w14:paraId="15C89BFF">
      <w:pPr>
        <w:spacing w:line="360" w:lineRule="auto"/>
        <w:ind w:right="105"/>
        <w:jc w:val="center"/>
        <w:rPr>
          <w:rFonts w:hint="eastAsia" w:ascii="黑体" w:eastAsia="黑体"/>
          <w:sz w:val="21"/>
          <w:szCs w:val="21"/>
        </w:rPr>
      </w:pPr>
    </w:p>
    <w:p w14:paraId="071E735A">
      <w:pPr>
        <w:spacing w:line="360" w:lineRule="auto"/>
        <w:ind w:right="105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交变磁强计</w:t>
      </w:r>
      <w:r>
        <w:rPr>
          <w:rFonts w:hint="eastAsia" w:ascii="黑体" w:eastAsia="黑体"/>
          <w:sz w:val="44"/>
          <w:szCs w:val="44"/>
        </w:rPr>
        <w:t>校准规范</w:t>
      </w:r>
    </w:p>
    <w:p w14:paraId="101C16EB">
      <w:pPr>
        <w:spacing w:line="360" w:lineRule="auto"/>
        <w:ind w:right="105"/>
        <w:jc w:val="center"/>
        <w:rPr>
          <w:rFonts w:hint="eastAsia" w:ascii="黑体" w:eastAsia="黑体"/>
          <w:sz w:val="44"/>
          <w:szCs w:val="44"/>
        </w:rPr>
      </w:pPr>
    </w:p>
    <w:p w14:paraId="2F11D82E">
      <w:pPr>
        <w:spacing w:line="360" w:lineRule="auto"/>
        <w:ind w:right="105"/>
        <w:jc w:val="center"/>
        <w:rPr>
          <w:rFonts w:hint="eastAsia" w:ascii="黑体" w:eastAsia="黑体"/>
          <w:sz w:val="44"/>
          <w:szCs w:val="44"/>
          <w:lang w:val="en-US" w:eastAsia="zh-CN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测量</w:t>
      </w:r>
      <w:r>
        <w:rPr>
          <w:rFonts w:hint="eastAsia" w:ascii="黑体" w:eastAsia="黑体"/>
          <w:sz w:val="44"/>
          <w:szCs w:val="44"/>
        </w:rPr>
        <w:t>不确定度评定</w:t>
      </w:r>
      <w:r>
        <w:rPr>
          <w:rFonts w:hint="eastAsia" w:ascii="黑体" w:eastAsia="黑体"/>
          <w:sz w:val="44"/>
          <w:szCs w:val="44"/>
          <w:lang w:val="en-US" w:eastAsia="zh-CN"/>
        </w:rPr>
        <w:t>报告</w:t>
      </w:r>
    </w:p>
    <w:p w14:paraId="21F7AD09">
      <w:pPr>
        <w:spacing w:line="360" w:lineRule="auto"/>
        <w:ind w:right="105"/>
        <w:jc w:val="center"/>
        <w:rPr>
          <w:rFonts w:hint="eastAsia" w:ascii="黑体" w:eastAsia="黑体"/>
          <w:sz w:val="32"/>
          <w:szCs w:val="32"/>
        </w:rPr>
      </w:pPr>
    </w:p>
    <w:p w14:paraId="21F92B2C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1E42D696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2BD5965A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58C3C1A2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7D74CA80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68CA88FB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09FAFC29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23EC3278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65540B77">
      <w:pPr>
        <w:spacing w:line="360" w:lineRule="auto"/>
        <w:ind w:right="105"/>
        <w:jc w:val="center"/>
        <w:rPr>
          <w:rFonts w:hint="eastAsia" w:ascii="黑体" w:eastAsia="黑体"/>
          <w:sz w:val="28"/>
          <w:szCs w:val="28"/>
        </w:rPr>
      </w:pPr>
    </w:p>
    <w:p w14:paraId="3BF0363A">
      <w:pPr>
        <w:spacing w:line="360" w:lineRule="auto"/>
        <w:ind w:right="105"/>
        <w:jc w:val="center"/>
        <w:rPr>
          <w:rFonts w:hint="default" w:ascii="黑体" w:eastAsia="黑体"/>
          <w:sz w:val="28"/>
          <w:szCs w:val="28"/>
          <w:lang w:val="en-US"/>
        </w:rPr>
      </w:pPr>
      <w:r>
        <w:rPr>
          <w:rFonts w:hint="eastAsia" w:ascii="黑体" w:eastAsia="黑体"/>
          <w:sz w:val="28"/>
          <w:szCs w:val="28"/>
          <w:lang w:val="en-US" w:eastAsia="zh-CN"/>
        </w:rPr>
        <w:t>中国计量科学研究院</w:t>
      </w:r>
    </w:p>
    <w:p w14:paraId="34F64770">
      <w:pPr>
        <w:spacing w:line="300" w:lineRule="auto"/>
        <w:jc w:val="center"/>
        <w:rPr>
          <w:color w:val="000000"/>
          <w:sz w:val="24"/>
        </w:rPr>
      </w:pPr>
      <w:r>
        <w:rPr>
          <w:rFonts w:hint="eastAsia" w:ascii="黑体" w:eastAsia="黑体"/>
          <w:sz w:val="28"/>
          <w:szCs w:val="28"/>
        </w:rPr>
        <w:t>二○二</w:t>
      </w:r>
      <w:r>
        <w:rPr>
          <w:rFonts w:hint="eastAsia" w:asci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eastAsia="黑体"/>
          <w:sz w:val="28"/>
          <w:szCs w:val="28"/>
        </w:rPr>
        <w:t>年</w:t>
      </w:r>
      <w:r>
        <w:rPr>
          <w:rFonts w:hint="eastAsia" w:ascii="黑体" w:eastAsia="黑体"/>
          <w:sz w:val="28"/>
          <w:szCs w:val="28"/>
          <w:lang w:eastAsia="zh-CN"/>
        </w:rPr>
        <w:t>五</w:t>
      </w:r>
      <w:r>
        <w:rPr>
          <w:rFonts w:hint="eastAsia" w:ascii="黑体" w:eastAsia="黑体"/>
          <w:sz w:val="28"/>
          <w:szCs w:val="28"/>
        </w:rPr>
        <w:t>月</w:t>
      </w:r>
    </w:p>
    <w:p w14:paraId="060782C6">
      <w:pPr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497A2A09">
      <w:pPr>
        <w:spacing w:line="300" w:lineRule="auto"/>
        <w:jc w:val="center"/>
        <w:rPr>
          <w:color w:val="000000"/>
          <w:sz w:val="24"/>
        </w:rPr>
      </w:pPr>
    </w:p>
    <w:p w14:paraId="4BA252AD">
      <w:pPr>
        <w:numPr>
          <w:ilvl w:val="0"/>
          <w:numId w:val="4"/>
        </w:numPr>
        <w:spacing w:line="300" w:lineRule="auto"/>
        <w:rPr>
          <w:sz w:val="24"/>
        </w:rPr>
      </w:pPr>
      <w:bookmarkStart w:id="4" w:name="_GoBack"/>
      <w:bookmarkEnd w:id="4"/>
      <w:r>
        <w:rPr>
          <w:sz w:val="24"/>
        </w:rPr>
        <w:t>适用范围</w:t>
      </w:r>
    </w:p>
    <w:p w14:paraId="1FB5AFBF">
      <w:pPr>
        <w:spacing w:line="300" w:lineRule="auto"/>
        <w:ind w:firstLine="480" w:firstLineChars="200"/>
        <w:rPr>
          <w:sz w:val="24"/>
        </w:rPr>
      </w:pPr>
      <w:r>
        <w:rPr>
          <w:sz w:val="24"/>
        </w:rPr>
        <w:t>本文件规定了</w:t>
      </w:r>
      <w:r>
        <w:rPr>
          <w:rFonts w:hint="eastAsia"/>
          <w:sz w:val="24"/>
          <w:lang w:val="en-US" w:eastAsia="zh-CN"/>
        </w:rPr>
        <w:t>交变磁</w:t>
      </w:r>
      <w:r>
        <w:rPr>
          <w:sz w:val="24"/>
        </w:rPr>
        <w:t>强计校准的测量不确定度的评定与表示。适用于</w:t>
      </w:r>
      <w:r>
        <w:rPr>
          <w:rFonts w:hint="eastAsia"/>
          <w:sz w:val="24"/>
          <w:lang w:val="en-US" w:eastAsia="zh-CN"/>
        </w:rPr>
        <w:t>交变磁</w:t>
      </w:r>
      <w:r>
        <w:rPr>
          <w:sz w:val="24"/>
        </w:rPr>
        <w:t>强计校准不确定度评定与表示。</w:t>
      </w:r>
    </w:p>
    <w:p w14:paraId="285B11AE">
      <w:pPr>
        <w:numPr>
          <w:ilvl w:val="0"/>
          <w:numId w:val="4"/>
        </w:numPr>
        <w:spacing w:line="300" w:lineRule="auto"/>
        <w:rPr>
          <w:sz w:val="24"/>
        </w:rPr>
      </w:pPr>
      <w:r>
        <w:rPr>
          <w:sz w:val="24"/>
        </w:rPr>
        <w:t>引用文件</w:t>
      </w:r>
    </w:p>
    <w:p w14:paraId="038FAE1E">
      <w:pPr>
        <w:spacing w:line="300" w:lineRule="auto"/>
        <w:ind w:firstLine="480" w:firstLineChars="200"/>
        <w:rPr>
          <w:sz w:val="24"/>
        </w:rPr>
      </w:pPr>
      <w:r>
        <w:rPr>
          <w:sz w:val="24"/>
        </w:rPr>
        <w:t xml:space="preserve">YLY/C82-2023-007 编制测量不确定度评定报告作业指导书 </w:t>
      </w:r>
    </w:p>
    <w:p w14:paraId="04E6934E">
      <w:pPr>
        <w:spacing w:line="300" w:lineRule="auto"/>
        <w:ind w:firstLine="480" w:firstLineChars="200"/>
        <w:rPr>
          <w:sz w:val="24"/>
        </w:rPr>
      </w:pPr>
      <w:r>
        <w:rPr>
          <w:sz w:val="24"/>
        </w:rPr>
        <w:t xml:space="preserve">CNAS-GL025 校准和测量能力（CMC）表述指南 </w:t>
      </w:r>
    </w:p>
    <w:p w14:paraId="3F489C07">
      <w:pPr>
        <w:spacing w:line="30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JJF xxxx-xxxx 交变磁强计校准规范</w:t>
      </w:r>
      <w:r>
        <w:rPr>
          <w:sz w:val="24"/>
        </w:rPr>
        <w:t xml:space="preserve"> </w:t>
      </w:r>
    </w:p>
    <w:p w14:paraId="0B68A5FD">
      <w:pPr>
        <w:spacing w:line="300" w:lineRule="auto"/>
        <w:rPr>
          <w:sz w:val="24"/>
        </w:rPr>
      </w:pPr>
      <w:r>
        <w:rPr>
          <w:sz w:val="24"/>
        </w:rPr>
        <w:t xml:space="preserve">3  </w:t>
      </w:r>
      <w:r>
        <w:rPr>
          <w:rFonts w:hint="eastAsia"/>
          <w:sz w:val="24"/>
          <w:lang w:val="en-US" w:eastAsia="zh-CN"/>
        </w:rPr>
        <w:t>交变磁强计</w:t>
      </w:r>
      <w:r>
        <w:rPr>
          <w:rFonts w:hint="eastAsia"/>
          <w:sz w:val="24"/>
        </w:rPr>
        <w:t>频率响应</w:t>
      </w:r>
      <w:r>
        <w:rPr>
          <w:sz w:val="24"/>
        </w:rPr>
        <w:t>校准不确定度评定</w:t>
      </w:r>
    </w:p>
    <w:p w14:paraId="7049DD4D">
      <w:pPr>
        <w:spacing w:line="300" w:lineRule="auto"/>
        <w:rPr>
          <w:sz w:val="24"/>
        </w:rPr>
      </w:pPr>
      <w:r>
        <w:rPr>
          <w:sz w:val="24"/>
        </w:rPr>
        <w:t>3.1测量模型及不确定度传播律</w:t>
      </w:r>
    </w:p>
    <w:p w14:paraId="278AAA36">
      <w:pPr>
        <w:autoSpaceDE w:val="0"/>
        <w:autoSpaceDN w:val="0"/>
        <w:adjustRightInd w:val="0"/>
        <w:spacing w:line="300" w:lineRule="auto"/>
        <w:jc w:val="left"/>
        <w:rPr>
          <w:sz w:val="24"/>
        </w:rPr>
      </w:pPr>
      <w:r>
        <w:rPr>
          <w:sz w:val="24"/>
        </w:rPr>
        <w:t>3.1.1 测量模型</w:t>
      </w:r>
    </w:p>
    <w:p w14:paraId="3865C7AD">
      <w:pPr>
        <w:autoSpaceDE w:val="0"/>
        <w:autoSpaceDN w:val="0"/>
        <w:adjustRightInd w:val="0"/>
        <w:spacing w:line="300" w:lineRule="auto"/>
        <w:ind w:firstLine="840" w:firstLineChars="350"/>
        <w:jc w:val="left"/>
        <w:rPr>
          <w:rFonts w:hint="eastAsia"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宋体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</w:rPr>
                <m:t>H</m:t>
              </m:r>
              <m:ctrlPr>
                <w:rPr>
                  <w:rFonts w:ascii="Cambria Math" w:hAnsi="宋体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</w:rPr>
                <m:t>x</m:t>
              </m:r>
              <m:ctrlPr>
                <w:rPr>
                  <w:rFonts w:ascii="Cambria Math" w:hAnsi="宋体"/>
                  <w:i/>
                  <w:sz w:val="24"/>
                </w:rPr>
              </m:ctrlPr>
            </m:sub>
          </m:sSub>
          <m:r>
            <m:rPr/>
            <w:rPr>
              <w:rFonts w:ascii="Cambria Math" w:hAnsi="宋体"/>
              <w:sz w:val="24"/>
            </w:rPr>
            <m:t>=</m:t>
          </m:r>
          <m:f>
            <m:fPr>
              <m:ctrlPr>
                <w:rPr>
                  <w:rFonts w:ascii="Cambria Math" w:hAnsi="宋体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宋体"/>
                  <w:sz w:val="24"/>
                </w:rPr>
                <m:t>0.7155⋅N⋅V</m:t>
              </m:r>
              <m:ctrlPr>
                <w:rPr>
                  <w:rFonts w:ascii="Cambria Math" w:hAnsi="宋体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宋体"/>
                  <w:sz w:val="24"/>
                </w:rPr>
                <m:t>r⋅</m:t>
              </m:r>
              <m:r>
                <m:rPr/>
                <w:rPr>
                  <w:rFonts w:hint="eastAsia" w:ascii="Cambria Math" w:hAnsi="宋体"/>
                  <w:sz w:val="24"/>
                </w:rPr>
                <m:t>R</m:t>
              </m:r>
              <m:ctrlPr>
                <w:rPr>
                  <w:rFonts w:hint="eastAsia" w:ascii="Cambria Math" w:hAnsi="Cambria Math"/>
                  <w:i/>
                  <w:sz w:val="24"/>
                </w:rPr>
              </m:ctrlPr>
            </m:den>
          </m:f>
        </m:oMath>
      </m:oMathPara>
    </w:p>
    <w:p w14:paraId="087DA8CF">
      <w:pPr>
        <w:autoSpaceDE w:val="0"/>
        <w:autoSpaceDN w:val="0"/>
        <w:adjustRightInd w:val="0"/>
        <w:spacing w:line="300" w:lineRule="auto"/>
        <w:ind w:firstLine="840" w:firstLineChars="350"/>
        <w:jc w:val="left"/>
        <w:rPr>
          <w:sz w:val="24"/>
        </w:rPr>
      </w:pPr>
      <w:r>
        <w:rPr>
          <w:sz w:val="24"/>
        </w:rPr>
        <w:t xml:space="preserve">                </w:t>
      </w:r>
      <w:r>
        <w:rPr>
          <w:rFonts w:hint="eastAsia"/>
          <w:sz w:val="24"/>
        </w:rPr>
        <w:t>式中：</w:t>
      </w:r>
    </w:p>
    <w:p w14:paraId="38377469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H</w:t>
      </w:r>
      <w:r>
        <w:rPr>
          <w:rFonts w:hint="eastAsia"/>
          <w:sz w:val="24"/>
          <w:vertAlign w:val="subscript"/>
        </w:rPr>
        <w:t>x</w:t>
      </w:r>
      <w:r>
        <w:rPr>
          <w:rFonts w:hint="eastAsia"/>
          <w:sz w:val="24"/>
        </w:rPr>
        <w:t>——磁场强度实际值，A/m</w:t>
      </w:r>
      <w:r>
        <w:rPr>
          <w:sz w:val="24"/>
        </w:rPr>
        <w:t>（1A/m≈1.256μT）</w:t>
      </w:r>
      <w:r>
        <w:rPr>
          <w:rFonts w:hint="eastAsia"/>
          <w:sz w:val="24"/>
        </w:rPr>
        <w:t>；</w:t>
      </w:r>
    </w:p>
    <w:p w14:paraId="6A20FCC4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V——台式数字万用表监测电流采样器的电压， V；</w:t>
      </w:r>
    </w:p>
    <w:p w14:paraId="4E07385D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R</w:t>
      </w:r>
      <w:r>
        <w:rPr>
          <w:rFonts w:hint="eastAsia"/>
          <w:sz w:val="24"/>
        </w:rPr>
        <w:t>——电流采样器阻值，Ω；</w:t>
      </w:r>
    </w:p>
    <w:p w14:paraId="60A74851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N</w:t>
      </w:r>
      <w:r>
        <w:rPr>
          <w:rFonts w:hint="eastAsia"/>
          <w:sz w:val="24"/>
        </w:rPr>
        <w:t>——线圈匝数，N=5；</w:t>
      </w:r>
    </w:p>
    <w:p w14:paraId="18CD2B92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r</w:t>
      </w:r>
      <w:r>
        <w:rPr>
          <w:rFonts w:hint="eastAsia"/>
          <w:sz w:val="24"/>
        </w:rPr>
        <w:t>——线圈半径，0.25m；</w:t>
      </w:r>
    </w:p>
    <w:p w14:paraId="1AE1CE2F">
      <w:pPr>
        <w:autoSpaceDE w:val="0"/>
        <w:autoSpaceDN w:val="0"/>
        <w:adjustRightInd w:val="0"/>
        <w:spacing w:line="300" w:lineRule="auto"/>
        <w:jc w:val="left"/>
        <w:rPr>
          <w:sz w:val="24"/>
        </w:rPr>
      </w:pPr>
      <w:r>
        <w:rPr>
          <w:sz w:val="24"/>
        </w:rPr>
        <w:t>3.1.2 不确定度传播律</w:t>
      </w:r>
    </w:p>
    <w:p w14:paraId="1D7F465F">
      <w:pPr>
        <w:autoSpaceDE w:val="0"/>
        <w:autoSpaceDN w:val="0"/>
        <w:adjustRightInd w:val="0"/>
        <w:spacing w:line="300" w:lineRule="auto"/>
        <w:jc w:val="left"/>
        <w:rPr>
          <w:sz w:val="24"/>
        </w:rPr>
      </w:pPr>
      <w:r>
        <w:rPr>
          <w:sz w:val="24"/>
        </w:rPr>
        <w:t xml:space="preserve">      </w:t>
      </w:r>
      <w:r>
        <w:rPr>
          <w:kern w:val="0"/>
          <w:position w:val="-22"/>
          <w:sz w:val="24"/>
          <w:lang w:val="zh-CN"/>
        </w:rPr>
        <w:object>
          <v:shape id="_x0000_i1025" o:spt="75" type="#_x0000_t75" style="height:24.75pt;width:4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b/>
          <w:bCs/>
          <w:kern w:val="0"/>
          <w:sz w:val="24"/>
        </w:rPr>
        <w:t>=</w:t>
      </w:r>
      <w:r>
        <w:rPr>
          <w:kern w:val="0"/>
          <w:position w:val="-28"/>
          <w:sz w:val="24"/>
          <w:lang w:val="zh-CN"/>
        </w:rPr>
        <w:object>
          <v:shape id="_x0000_i1026" o:spt="75" type="#_x0000_t75" style="height:33.75pt;width:2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kern w:val="0"/>
          <w:position w:val="-32"/>
          <w:sz w:val="24"/>
          <w:lang w:val="zh-CN"/>
        </w:rPr>
        <w:object>
          <v:shape id="_x0000_i1027" o:spt="75" type="#_x0000_t75" style="height:39.75pt;width:6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b/>
          <w:bCs/>
          <w:kern w:val="0"/>
          <w:sz w:val="24"/>
        </w:rPr>
        <w:t>=</w:t>
      </w:r>
      <w:r>
        <w:rPr>
          <w:kern w:val="0"/>
          <w:position w:val="-28"/>
          <w:sz w:val="24"/>
          <w:lang w:val="zh-CN"/>
        </w:rPr>
        <w:object>
          <v:shape id="_x0000_i1028" o:spt="75" type="#_x0000_t75" style="height:33.75pt;width:2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kern w:val="0"/>
          <w:position w:val="-12"/>
          <w:sz w:val="24"/>
          <w:lang w:val="zh-CN"/>
        </w:rPr>
        <w:object>
          <v:shape id="_x0000_i1029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b/>
          <w:bCs/>
          <w:kern w:val="0"/>
          <w:sz w:val="24"/>
        </w:rPr>
        <w:t xml:space="preserve">   </w:t>
      </w:r>
      <w:r>
        <w:rPr>
          <w:kern w:val="0"/>
          <w:sz w:val="24"/>
        </w:rPr>
        <w:t xml:space="preserve">  </w:t>
      </w:r>
    </w:p>
    <w:p w14:paraId="75F070BE">
      <w:pPr>
        <w:spacing w:line="300" w:lineRule="auto"/>
        <w:jc w:val="left"/>
        <w:rPr>
          <w:sz w:val="24"/>
        </w:rPr>
      </w:pPr>
      <w:r>
        <w:rPr>
          <w:sz w:val="24"/>
        </w:rPr>
        <w:t>3.2  标准不确定度的评定</w:t>
      </w:r>
    </w:p>
    <w:p w14:paraId="420D7AF1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） 台式数字万用</w:t>
      </w:r>
      <w:r>
        <w:rPr>
          <w:rFonts w:hint="eastAsia"/>
          <w:sz w:val="24"/>
        </w:rPr>
        <w:t>表</w:t>
      </w:r>
      <w:r>
        <w:rPr>
          <w:rFonts w:hint="eastAsia" w:hAnsi="宋体"/>
          <w:sz w:val="24"/>
        </w:rPr>
        <w:t>测量不准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1</w:t>
      </w:r>
    </w:p>
    <w:p w14:paraId="0A7A6C71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台式数字万用</w:t>
      </w:r>
      <w:r>
        <w:rPr>
          <w:rFonts w:hint="eastAsia"/>
          <w:sz w:val="24"/>
        </w:rPr>
        <w:t>表的准确度为</w:t>
      </w:r>
      <w:r>
        <w:rPr>
          <w:szCs w:val="22"/>
          <w:lang w:bidi="ar"/>
        </w:rPr>
        <w:t>±0.5</w:t>
      </w:r>
      <w:r>
        <w:rPr>
          <w:rFonts w:hint="eastAsia"/>
          <w:sz w:val="24"/>
        </w:rPr>
        <w:t>%，</w:t>
      </w:r>
      <w:r>
        <w:rPr>
          <w:rFonts w:hint="eastAsia" w:hAnsi="宋体"/>
          <w:sz w:val="24"/>
        </w:rPr>
        <w:t>假设为均匀分布，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3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65180892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1rel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=0.5%/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=0.29%</m:t>
          </m:r>
        </m:oMath>
      </m:oMathPara>
    </w:p>
    <w:p w14:paraId="51995B02">
      <w:pPr>
        <w:spacing w:line="420" w:lineRule="exact"/>
        <w:rPr>
          <w:sz w:val="24"/>
        </w:rPr>
      </w:pPr>
      <w:r>
        <w:rPr>
          <w:rFonts w:hint="eastAsia"/>
          <w:sz w:val="24"/>
        </w:rPr>
        <w:t>2）</w:t>
      </w:r>
      <w:r>
        <w:rPr>
          <w:rFonts w:hint="eastAsia" w:hAnsi="宋体"/>
          <w:sz w:val="24"/>
        </w:rPr>
        <w:t>电流采样器的阻值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2</w:t>
      </w:r>
    </w:p>
    <w:p w14:paraId="388965D1">
      <w:pPr>
        <w:spacing w:line="420" w:lineRule="exact"/>
        <w:ind w:firstLine="240" w:firstLineChars="100"/>
        <w:rPr>
          <w:sz w:val="24"/>
        </w:rPr>
      </w:pPr>
      <w:r>
        <w:rPr>
          <w:rFonts w:hint="eastAsia" w:hAnsi="宋体"/>
          <w:sz w:val="24"/>
        </w:rPr>
        <w:t>电流采样器的阻值最大允许误差</w:t>
      </w:r>
      <w:r>
        <w:rPr>
          <w:rFonts w:hint="eastAsia" w:ascii="宋体" w:hAnsi="宋体"/>
          <w:sz w:val="24"/>
        </w:rPr>
        <w:t>±</w:t>
      </w:r>
      <w:r>
        <w:rPr>
          <w:rFonts w:hint="eastAsia" w:hAnsi="宋体"/>
          <w:sz w:val="24"/>
        </w:rPr>
        <w:t>1.0%，假设为均匀分布，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3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sz w:val="24"/>
        </w:rPr>
        <w:t>。则：</w:t>
      </w:r>
    </w:p>
    <w:p w14:paraId="303BF12F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2rel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=1.0%/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 w:hAns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=0.58%</m:t>
          </m:r>
        </m:oMath>
      </m:oMathPara>
    </w:p>
    <w:p w14:paraId="1063A86E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3）线圈匝数不准引入的相对标准不确定度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3</w:t>
      </w:r>
    </w:p>
    <w:p w14:paraId="02E4E062">
      <w:pPr>
        <w:spacing w:line="42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如果线圈的匝数较多，在获得匝数时难免需要进行测量产生误差。当亥姆霍兹线圈为5匝时，此项误差可以忽略。假设为均匀分布</w:t>
      </w:r>
      <w:r>
        <w:rPr>
          <w:sz w:val="24"/>
        </w:rPr>
        <w:t>，</w:t>
      </w:r>
      <w:r>
        <w:rPr>
          <w:rFonts w:hint="eastAsia"/>
          <w:sz w:val="24"/>
        </w:rPr>
        <w:t>则：</w:t>
      </w:r>
    </w:p>
    <w:p w14:paraId="1574D343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3rel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=0%/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=0%</m:t>
          </m:r>
        </m:oMath>
      </m:oMathPara>
    </w:p>
    <w:p w14:paraId="74EF9D2D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4）亥姆霍兹线圈制作不理想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5</w:t>
      </w:r>
    </w:p>
    <w:p w14:paraId="7BC70469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亥姆霍兹线圈制作不理想的因素包括半径误差、间距误差、失配，体现在对0.7155这个值的影响上。该影响量不大于</w:t>
      </w:r>
      <w:r>
        <w:rPr>
          <w:sz w:val="24"/>
        </w:rPr>
        <w:t>±</w:t>
      </w:r>
      <w:r>
        <w:rPr>
          <w:rFonts w:hint="eastAsia" w:hAnsi="宋体"/>
          <w:sz w:val="24"/>
        </w:rPr>
        <w:t>1.0%，</w:t>
      </w:r>
      <w:r>
        <w:rPr>
          <w:rFonts w:hint="eastAsia"/>
          <w:sz w:val="24"/>
        </w:rPr>
        <w:t>假设为均匀分布</w:t>
      </w:r>
      <w:r>
        <w:rPr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3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75848A75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4rel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=1.0%/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=0.58%</m:t>
          </m:r>
        </m:oMath>
      </m:oMathPara>
    </w:p>
    <w:p w14:paraId="51783B76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5）场不均匀性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6</w:t>
      </w:r>
    </w:p>
    <w:p w14:paraId="64A35814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在对工频磁场测量仪进行校准时，磁场信号穿过探头感应线圈的中心，并与线圈平面垂直，探头感应线圈区域内所有位置的磁场强度被认为都等于中心场强，而实际上感应线圈平面内磁场分布并不均匀。当感应线圈的直径为10cm，亥姆霍兹线圈的半径为25cm时，计算结果显示，场不均匀性导致的相对偏差范围为(0~2.5) %，区间半宽为1.25%，</w:t>
      </w:r>
      <w:r>
        <w:rPr>
          <w:rFonts w:hint="eastAsia"/>
          <w:sz w:val="24"/>
        </w:rPr>
        <w:t>假设为均匀分布</w:t>
      </w:r>
      <w:r>
        <w:rPr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3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5C52F4F7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5rel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=1.25%/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=0.72%</m:t>
          </m:r>
        </m:oMath>
      </m:oMathPara>
    </w:p>
    <w:p w14:paraId="444BAAF1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6）环境电磁噪声引入的相对标准不确定度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7</w:t>
      </w:r>
    </w:p>
    <w:p w14:paraId="3C351ABF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被校低频磁场测量仪上显示的磁场噪声最大为0.044A/m，以校准1A/m为例，噪声引入的相对偏差为(0~4.4)%，区间半宽为2.2%，</w:t>
      </w:r>
      <w:r>
        <w:rPr>
          <w:rFonts w:hint="eastAsia"/>
          <w:sz w:val="24"/>
        </w:rPr>
        <w:t>假设为均匀分布</w:t>
      </w:r>
      <w:r>
        <w:rPr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3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0A899B4C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6rel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=2.2%/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=1.27%</m:t>
          </m:r>
        </m:oMath>
      </m:oMathPara>
    </w:p>
    <w:p w14:paraId="0739F89D">
      <w:pPr>
        <w:spacing w:line="420" w:lineRule="exact"/>
        <w:rPr>
          <w:rFonts w:hint="eastAsia" w:hAnsi="宋体"/>
          <w:sz w:val="24"/>
        </w:rPr>
      </w:pPr>
    </w:p>
    <w:p w14:paraId="7941927D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7）测量重复性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6</w:t>
      </w:r>
    </w:p>
    <w:p w14:paraId="66EEA853">
      <w:pPr>
        <w:spacing w:line="300" w:lineRule="auto"/>
        <w:ind w:firstLine="480" w:firstLineChars="200"/>
        <w:rPr>
          <w:sz w:val="24"/>
        </w:rPr>
      </w:pPr>
      <w:r>
        <w:rPr>
          <w:sz w:val="24"/>
        </w:rPr>
        <w:t>对被测电场测量仪</w:t>
      </w:r>
      <w:r>
        <w:rPr>
          <w:rFonts w:hint="eastAsia"/>
          <w:sz w:val="24"/>
        </w:rPr>
        <w:t>100k</w:t>
      </w:r>
      <w:r>
        <w:rPr>
          <w:sz w:val="24"/>
        </w:rPr>
        <w:t>Hz，</w:t>
      </w:r>
      <w:r>
        <w:rPr>
          <w:rFonts w:ascii="Consolas" w:hAnsi="Consolas" w:cs="Consolas"/>
          <w:sz w:val="22"/>
          <w:szCs w:val="22"/>
        </w:rPr>
        <w:t>1A/m</w:t>
      </w:r>
      <w:r>
        <w:rPr>
          <w:sz w:val="24"/>
        </w:rPr>
        <w:t>下的</w:t>
      </w:r>
      <w:r>
        <w:rPr>
          <w:rFonts w:hint="eastAsia"/>
          <w:sz w:val="24"/>
        </w:rPr>
        <w:t>工频磁场</w:t>
      </w:r>
      <w:r>
        <w:rPr>
          <w:sz w:val="24"/>
        </w:rPr>
        <w:t>强度进行10次测量数据如下表：</w:t>
      </w:r>
    </w:p>
    <w:p w14:paraId="65A767E5">
      <w:pPr>
        <w:spacing w:line="300" w:lineRule="auto"/>
        <w:ind w:firstLine="420" w:firstLineChars="200"/>
        <w:jc w:val="center"/>
        <w:rPr>
          <w:szCs w:val="21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68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</w:tblGrid>
      <w:tr w14:paraId="6DFD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36" w:type="dxa"/>
            <w:vAlign w:val="center"/>
          </w:tcPr>
          <w:p w14:paraId="7B2A5110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次数</w:t>
            </w:r>
          </w:p>
        </w:tc>
        <w:tc>
          <w:tcPr>
            <w:tcW w:w="868" w:type="dxa"/>
            <w:vAlign w:val="center"/>
          </w:tcPr>
          <w:p w14:paraId="1DF2C6BC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4" w:type="dxa"/>
            <w:vAlign w:val="center"/>
          </w:tcPr>
          <w:p w14:paraId="593C508B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 w14:paraId="72CD53BC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 w14:paraId="68C28899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4" w:type="dxa"/>
            <w:vAlign w:val="center"/>
          </w:tcPr>
          <w:p w14:paraId="4D3F1968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44" w:type="dxa"/>
            <w:vAlign w:val="center"/>
          </w:tcPr>
          <w:p w14:paraId="05888921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44" w:type="dxa"/>
            <w:vAlign w:val="center"/>
          </w:tcPr>
          <w:p w14:paraId="34007D1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44" w:type="dxa"/>
            <w:vAlign w:val="center"/>
          </w:tcPr>
          <w:p w14:paraId="0793F74D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44" w:type="dxa"/>
            <w:vAlign w:val="center"/>
          </w:tcPr>
          <w:p w14:paraId="47184653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44" w:type="dxa"/>
            <w:vAlign w:val="center"/>
          </w:tcPr>
          <w:p w14:paraId="35E6EBE8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14:paraId="50C95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236" w:type="dxa"/>
            <w:vAlign w:val="center"/>
          </w:tcPr>
          <w:p w14:paraId="2205B849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示值（</w:t>
            </w:r>
            <w:r>
              <w:rPr>
                <w:rFonts w:ascii="Consolas" w:hAnsi="Consolas" w:cs="Consolas"/>
                <w:sz w:val="22"/>
                <w:szCs w:val="22"/>
              </w:rPr>
              <w:t>A/m</w:t>
            </w:r>
            <w:r>
              <w:rPr>
                <w:szCs w:val="21"/>
              </w:rPr>
              <w:t>）</w:t>
            </w:r>
          </w:p>
        </w:tc>
        <w:tc>
          <w:tcPr>
            <w:tcW w:w="868" w:type="dxa"/>
            <w:vAlign w:val="center"/>
          </w:tcPr>
          <w:p w14:paraId="233EDB45">
            <w:pPr>
              <w:widowControl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0.978</w:t>
            </w:r>
          </w:p>
        </w:tc>
        <w:tc>
          <w:tcPr>
            <w:tcW w:w="744" w:type="dxa"/>
            <w:vAlign w:val="center"/>
          </w:tcPr>
          <w:p w14:paraId="2D9989EA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0.981</w:t>
            </w:r>
          </w:p>
        </w:tc>
        <w:tc>
          <w:tcPr>
            <w:tcW w:w="744" w:type="dxa"/>
            <w:vAlign w:val="center"/>
          </w:tcPr>
          <w:p w14:paraId="1D3BDDB0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0.975</w:t>
            </w:r>
          </w:p>
        </w:tc>
        <w:tc>
          <w:tcPr>
            <w:tcW w:w="744" w:type="dxa"/>
            <w:vAlign w:val="center"/>
          </w:tcPr>
          <w:p w14:paraId="3505C60C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1.008</w:t>
            </w:r>
          </w:p>
        </w:tc>
        <w:tc>
          <w:tcPr>
            <w:tcW w:w="744" w:type="dxa"/>
            <w:vAlign w:val="center"/>
          </w:tcPr>
          <w:p w14:paraId="6673E81E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1.001</w:t>
            </w:r>
          </w:p>
        </w:tc>
        <w:tc>
          <w:tcPr>
            <w:tcW w:w="744" w:type="dxa"/>
            <w:vAlign w:val="center"/>
          </w:tcPr>
          <w:p w14:paraId="72231280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1.017</w:t>
            </w:r>
          </w:p>
        </w:tc>
        <w:tc>
          <w:tcPr>
            <w:tcW w:w="744" w:type="dxa"/>
            <w:vAlign w:val="center"/>
          </w:tcPr>
          <w:p w14:paraId="43664F3E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0.971</w:t>
            </w:r>
          </w:p>
        </w:tc>
        <w:tc>
          <w:tcPr>
            <w:tcW w:w="744" w:type="dxa"/>
            <w:vAlign w:val="center"/>
          </w:tcPr>
          <w:p w14:paraId="175E4ED8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1.011</w:t>
            </w:r>
          </w:p>
        </w:tc>
        <w:tc>
          <w:tcPr>
            <w:tcW w:w="744" w:type="dxa"/>
            <w:vAlign w:val="center"/>
          </w:tcPr>
          <w:p w14:paraId="3CEB0E4C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1.013</w:t>
            </w:r>
          </w:p>
        </w:tc>
        <w:tc>
          <w:tcPr>
            <w:tcW w:w="744" w:type="dxa"/>
            <w:vAlign w:val="center"/>
          </w:tcPr>
          <w:p w14:paraId="2C8C7960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1.017</w:t>
            </w:r>
          </w:p>
        </w:tc>
      </w:tr>
    </w:tbl>
    <w:p w14:paraId="162E9878">
      <w:pPr>
        <w:tabs>
          <w:tab w:val="left" w:pos="4110"/>
        </w:tabs>
        <w:spacing w:line="300" w:lineRule="auto"/>
        <w:jc w:val="center"/>
        <w:rPr>
          <w:sz w:val="24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4"/>
                </w:rPr>
              </m:ctrlPr>
            </m:barPr>
            <m:e>
              <m:r>
                <m:rPr/>
                <w:rPr>
                  <w:rFonts w:ascii="Cambria Math"/>
                  <w:sz w:val="24"/>
                </w:rPr>
                <m:t>x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bar>
          <m:r>
            <m:rPr/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/>
                <w:rPr>
                  <w:rFonts w:ascii="Cambria Math"/>
                  <w:sz w:val="24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>
                <m:rPr/>
                <w:rPr>
                  <w:rFonts w:ascii="Cambria Math"/>
                  <w:sz w:val="24"/>
                </w:rPr>
                <m:t>n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nary>
            <m:naryPr>
              <m:chr m:val="∑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>
              <m:ctrlPr>
                <w:rPr>
                  <w:rFonts w:ascii="Cambria Math" w:hAnsi="Cambria Math"/>
                  <w:i/>
                  <w:sz w:val="24"/>
                </w:rPr>
              </m:ctrlPr>
            </m:sub>
            <m:sup>
              <m:ctrlPr>
                <w:rPr>
                  <w:rFonts w:ascii="Cambria Math" w:hAnsi="Cambria Math"/>
                  <w:i/>
                  <w:sz w:val="24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/>
                      <w:sz w:val="24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/>
                      <w:sz w:val="24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</m:sSub>
              <m:r>
                <m:rPr/>
                <w:rPr>
                  <w:rFonts w:ascii="Cambria Math"/>
                  <w:sz w:val="24"/>
                </w:rPr>
                <m:t>=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nary>
          <m:r>
            <m:rPr/>
            <w:rPr>
              <w:rFonts w:ascii="Cambria Math" w:hAnsi="Cambria Math"/>
              <w:sz w:val="24"/>
            </w:rPr>
            <m:t>0.997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nor/>
                  <m:sty m:val="p"/>
                </m:rPr>
                <w:rPr>
                  <w:rFonts w:hint="eastAsia" w:ascii="Cambria Math"/>
                  <w:b w:val="0"/>
                  <w:i w:val="0"/>
                  <w:sz w:val="24"/>
                </w:rPr>
                <m:t>A</m:t>
              </m:r>
              <m:r>
                <m:rPr>
                  <m:nor/>
                  <m:sty m:val="p"/>
                </m:rPr>
                <w:rPr>
                  <w:rFonts w:ascii="Cambria Math"/>
                  <w:b w:val="0"/>
                  <w:i w:val="0"/>
                  <w:sz w:val="24"/>
                </w:rPr>
                <m:t>/m</m:t>
              </m:r>
              <m:ctrlPr>
                <w:rPr>
                  <w:rFonts w:ascii="Cambria Math" w:hAnsi="Cambria Math"/>
                  <w:sz w:val="24"/>
                </w:rPr>
              </m:ctrlPr>
            </m:e>
          </m:d>
        </m:oMath>
      </m:oMathPara>
    </w:p>
    <w:p w14:paraId="6A7C710A">
      <w:pPr>
        <w:spacing w:line="300" w:lineRule="auto"/>
        <w:ind w:firstLine="480" w:firstLineChars="200"/>
      </w:pPr>
      <w:r>
        <w:rPr>
          <w:sz w:val="24"/>
        </w:rPr>
        <w:t>单次试验的标准差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hint="eastAsia"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m:rPr/>
                      <w:rPr>
                        <w:rFonts w:ascii="Cambria Math"/>
                      </w:rPr>
                      <m:t>i=1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/>
                      <w:rPr>
                        <w:rFonts w:asci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/>
                              </w:rPr>
                              <m:t>−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barPr>
                              <m:e>
                                <m:r>
                                  <m:rPr/>
                                  <w:rPr>
                                    <w:rFonts w:asci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e>
                            </m:ba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nary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/>
                  </w:rPr>
                  <m:t>n−1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e>
        </m:rad>
        <m:r>
          <m:rPr/>
          <w:rPr>
            <w:rFonts w:ascii="Cambria Math"/>
          </w:rPr>
          <m:t>=0.019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eastAsia" w:ascii="Cambria Math"/>
                <w:b w:val="0"/>
                <w:i w:val="0"/>
              </w:rPr>
              <m:t>A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/m</m:t>
            </m:r>
            <m:ctrlPr>
              <w:rPr>
                <w:rFonts w:ascii="Cambria Math" w:hAnsi="Cambria Math"/>
              </w:rPr>
            </m:ctrlPr>
          </m:e>
        </m:d>
      </m:oMath>
    </w:p>
    <w:p w14:paraId="0462FE55">
      <w:pPr>
        <w:spacing w:line="300" w:lineRule="auto"/>
        <w:ind w:firstLine="480" w:firstLineChars="200"/>
        <w:rPr>
          <w:i/>
          <w:iCs/>
        </w:rPr>
      </w:pPr>
      <w:r>
        <w:rPr>
          <w:sz w:val="24"/>
        </w:rPr>
        <w:t>以10次测量结果平均值的标准不确定度作为重复性引入的</w:t>
      </w:r>
      <w:r>
        <w:rPr>
          <w:rFonts w:hint="eastAsia"/>
          <w:sz w:val="24"/>
        </w:rPr>
        <w:t>相对不确定度</w:t>
      </w:r>
      <w:r>
        <w:rPr>
          <w:i/>
          <w:iCs/>
        </w:rPr>
        <w:t xml:space="preserve"> </w:t>
      </w:r>
    </w:p>
    <w:p w14:paraId="625639DB">
      <w:pPr>
        <w:spacing w:line="300" w:lineRule="auto"/>
        <w:ind w:firstLine="420" w:firstLineChars="20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/>
              </w:rPr>
              <m:t>u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/>
              </w:rPr>
              <m:t>7rel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rFonts w:hint="eastAsia"/>
          <w:sz w:val="24"/>
        </w:rPr>
        <w:t>=1.88%</w:t>
      </w:r>
    </w:p>
    <w:p w14:paraId="110D028F">
      <w:pPr>
        <w:spacing w:line="420" w:lineRule="exact"/>
        <w:rPr>
          <w:rFonts w:hint="eastAsia" w:hAnsi="宋体"/>
          <w:sz w:val="24"/>
        </w:rPr>
      </w:pPr>
      <w:r>
        <w:rPr>
          <w:rFonts w:hint="eastAsia"/>
          <w:sz w:val="24"/>
        </w:rPr>
        <w:t>3.3</w:t>
      </w:r>
      <w:r>
        <w:rPr>
          <w:rFonts w:hint="eastAsia" w:hAnsi="宋体"/>
          <w:sz w:val="24"/>
        </w:rPr>
        <w:t>合成标准不确定度</w:t>
      </w:r>
    </w:p>
    <w:p w14:paraId="77261384">
      <w:pPr>
        <w:spacing w:line="42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磁场强度测量不确定度主要分量见表C.1</w:t>
      </w:r>
    </w:p>
    <w:p w14:paraId="1BBFA5C3">
      <w:pPr>
        <w:pStyle w:val="48"/>
        <w:spacing w:before="156" w:beforeLines="50"/>
        <w:ind w:firstLine="0" w:firstLineChars="0"/>
        <w:jc w:val="center"/>
        <w:rPr>
          <w:szCs w:val="21"/>
        </w:rPr>
      </w:pPr>
      <w:r>
        <w:rPr>
          <w:rFonts w:hint="eastAsia" w:ascii="黑体" w:hAnsi="黑体" w:eastAsia="黑体"/>
          <w:szCs w:val="21"/>
        </w:rPr>
        <w:t>表C.1 磁场强度测量不确定度分量汇总表（1A/m,100kHz）</w:t>
      </w:r>
    </w:p>
    <w:tbl>
      <w:tblPr>
        <w:tblStyle w:val="14"/>
        <w:tblW w:w="401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6"/>
        <w:gridCol w:w="2807"/>
        <w:gridCol w:w="1882"/>
      </w:tblGrid>
      <w:tr w14:paraId="316C5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08ED3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不确定度分量</w:t>
            </w: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885" w:type="pct"/>
            <w:vAlign w:val="center"/>
          </w:tcPr>
          <w:p w14:paraId="0A896C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分布</w:t>
            </w:r>
          </w:p>
        </w:tc>
        <w:tc>
          <w:tcPr>
            <w:tcW w:w="1264" w:type="pct"/>
            <w:vAlign w:val="center"/>
          </w:tcPr>
          <w:p w14:paraId="34B43DFC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标准不确定度分量</w:t>
            </w:r>
          </w:p>
        </w:tc>
      </w:tr>
      <w:tr w14:paraId="504B4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6C17256B">
            <w:pPr>
              <w:jc w:val="center"/>
              <w:rPr>
                <w:sz w:val="24"/>
              </w:rPr>
            </w:pPr>
            <w:bookmarkStart w:id="1" w:name="_Hlk180501362"/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1</w:t>
            </w:r>
            <w:r>
              <w:rPr>
                <w:rFonts w:hint="eastAsia"/>
                <w:sz w:val="24"/>
              </w:rPr>
              <w:t>台式数字用表</w:t>
            </w:r>
          </w:p>
        </w:tc>
        <w:tc>
          <w:tcPr>
            <w:tcW w:w="1885" w:type="pct"/>
            <w:vAlign w:val="center"/>
          </w:tcPr>
          <w:p w14:paraId="348F95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  <w:vAlign w:val="center"/>
          </w:tcPr>
          <w:p w14:paraId="063BAE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0.29%</w:t>
            </w:r>
          </w:p>
        </w:tc>
      </w:tr>
      <w:tr w14:paraId="79040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208B13CF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2</w:t>
            </w:r>
            <w:r>
              <w:rPr>
                <w:rFonts w:hint="eastAsia" w:hAnsi="宋体"/>
                <w:sz w:val="24"/>
              </w:rPr>
              <w:t>电流采样器</w:t>
            </w:r>
          </w:p>
        </w:tc>
        <w:tc>
          <w:tcPr>
            <w:tcW w:w="1885" w:type="pct"/>
            <w:vAlign w:val="center"/>
          </w:tcPr>
          <w:p w14:paraId="6AC94B05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  <w:vAlign w:val="center"/>
          </w:tcPr>
          <w:p w14:paraId="772774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0.58%</w:t>
            </w:r>
          </w:p>
        </w:tc>
      </w:tr>
      <w:tr w14:paraId="2EE1E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1B12DED0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3</w:t>
            </w:r>
          </w:p>
          <w:p w14:paraId="0D02208C">
            <w:pPr>
              <w:ind w:firstLine="424" w:firstLineChars="177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线圈匝数不准</w:t>
            </w:r>
          </w:p>
        </w:tc>
        <w:tc>
          <w:tcPr>
            <w:tcW w:w="1885" w:type="pct"/>
            <w:vAlign w:val="center"/>
          </w:tcPr>
          <w:p w14:paraId="0539FBD1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  <w:vAlign w:val="center"/>
          </w:tcPr>
          <w:p w14:paraId="35791A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0%</w:t>
            </w:r>
          </w:p>
        </w:tc>
      </w:tr>
      <w:tr w14:paraId="1894A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1BD5BF74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亥姆霍兹线圈制作不理想</w:t>
            </w:r>
          </w:p>
        </w:tc>
        <w:tc>
          <w:tcPr>
            <w:tcW w:w="1885" w:type="pct"/>
            <w:vAlign w:val="center"/>
          </w:tcPr>
          <w:p w14:paraId="00146AD5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  <w:vAlign w:val="center"/>
          </w:tcPr>
          <w:p w14:paraId="69DADD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0.58%</w:t>
            </w:r>
          </w:p>
        </w:tc>
      </w:tr>
      <w:tr w14:paraId="66A00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4D69D0F5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5</w:t>
            </w:r>
            <w:r>
              <w:rPr>
                <w:rFonts w:hint="eastAsia"/>
                <w:sz w:val="24"/>
              </w:rPr>
              <w:t>场不均匀性</w:t>
            </w:r>
          </w:p>
        </w:tc>
        <w:tc>
          <w:tcPr>
            <w:tcW w:w="1885" w:type="pct"/>
            <w:vAlign w:val="center"/>
          </w:tcPr>
          <w:p w14:paraId="06243156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  <w:vAlign w:val="center"/>
          </w:tcPr>
          <w:p w14:paraId="2F11B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0.72%</w:t>
            </w:r>
          </w:p>
        </w:tc>
      </w:tr>
      <w:tr w14:paraId="50E00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18081D61">
            <w:pPr>
              <w:jc w:val="center"/>
              <w:rPr>
                <w:rFonts w:hint="eastAsia" w:hAnsi="宋体"/>
                <w:i/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6</w:t>
            </w:r>
            <w:r>
              <w:rPr>
                <w:rFonts w:hint="eastAsia" w:hAnsi="宋体"/>
                <w:sz w:val="24"/>
              </w:rPr>
              <w:t>环境电磁噪声引入的相对标准不确定度</w:t>
            </w:r>
          </w:p>
        </w:tc>
        <w:tc>
          <w:tcPr>
            <w:tcW w:w="1885" w:type="pct"/>
            <w:vAlign w:val="center"/>
          </w:tcPr>
          <w:p w14:paraId="1B5ECD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  <w:vAlign w:val="center"/>
          </w:tcPr>
          <w:p w14:paraId="5912B8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1.27%</w:t>
            </w:r>
          </w:p>
        </w:tc>
      </w:tr>
      <w:tr w14:paraId="3B9F7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2BB07EFF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7</w:t>
            </w:r>
            <w:r>
              <w:rPr>
                <w:rFonts w:hint="eastAsia"/>
                <w:sz w:val="24"/>
              </w:rPr>
              <w:t>测量结果的重复性</w:t>
            </w:r>
          </w:p>
        </w:tc>
        <w:tc>
          <w:tcPr>
            <w:tcW w:w="1885" w:type="pct"/>
            <w:vAlign w:val="center"/>
          </w:tcPr>
          <w:p w14:paraId="31E231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正态</w:t>
            </w:r>
          </w:p>
        </w:tc>
        <w:tc>
          <w:tcPr>
            <w:tcW w:w="1264" w:type="pct"/>
            <w:vAlign w:val="center"/>
          </w:tcPr>
          <w:p w14:paraId="374E46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1.88%</w:t>
            </w:r>
          </w:p>
        </w:tc>
      </w:tr>
      <w:bookmarkEnd w:id="1"/>
    </w:tbl>
    <w:p w14:paraId="38540584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各分量互不相关，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/>
                <w:sz w:val="24"/>
              </w:rPr>
              <m:t>C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/>
            <w:sz w:val="24"/>
          </w:rPr>
          <m:t>(y)=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</w:rPr>
            </m:ctrlPr>
          </m:deg>
          <m:e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m:rPr/>
                  <w:rPr>
                    <w:rFonts w:ascii="Cambria Math"/>
                    <w:sz w:val="24"/>
                  </w:rPr>
                  <m:t>i=1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/>
                    <w:sz w:val="24"/>
                  </w:rPr>
                  <m:t>9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p>
              <m:e>
                <m:r>
                  <m:rPr/>
                  <w:rPr>
                    <w:rFonts w:ascii="Cambria Math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sz w:val="24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e>
                  <m:sub>
                    <m:r>
                      <m:rPr/>
                      <w:rPr>
                        <w:rFonts w:ascii="Cambria Math"/>
                        <w:sz w:val="24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nary>
            <m:r>
              <m:rPr/>
              <w:rPr>
                <w:rFonts w:ascii="Cambria Math" w:hAnsi="Cambria Math" w:cs="Cambria Math"/>
                <w:sz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/>
                    <w:sz w:val="24"/>
                  </w:rPr>
                  <m:t>u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/>
                    <w:sz w:val="24"/>
                  </w:rPr>
                  <m:t>)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/>
                <w:i/>
                <w:sz w:val="24"/>
              </w:rPr>
            </m:ctrlPr>
          </m:e>
        </m:rad>
        <m:r>
          <m:rPr/>
          <w:rPr>
            <w:rFonts w:ascii="Cambria Math"/>
            <w:sz w:val="24"/>
          </w:rPr>
          <m:t>=2.18%</m:t>
        </m:r>
      </m:oMath>
    </w:p>
    <w:p w14:paraId="3508BCEC">
      <w:pPr>
        <w:spacing w:line="360" w:lineRule="auto"/>
        <w:rPr>
          <w:sz w:val="24"/>
        </w:rPr>
      </w:pPr>
      <w:r>
        <w:rPr>
          <w:rFonts w:hint="eastAsia"/>
          <w:sz w:val="24"/>
        </w:rPr>
        <w:t>3.4</w:t>
      </w:r>
      <w:r>
        <w:rPr>
          <w:rFonts w:hAnsi="宋体"/>
          <w:sz w:val="24"/>
        </w:rPr>
        <w:t>扩展不确定度</w:t>
      </w:r>
    </w:p>
    <w:p w14:paraId="286E95E1">
      <w:pPr>
        <w:pStyle w:val="48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取</w:t>
      </w:r>
      <w:r>
        <w:rPr>
          <w:rFonts w:ascii="Times New Roman" w:hAnsi="宋体"/>
          <w:sz w:val="24"/>
          <w:szCs w:val="24"/>
        </w:rPr>
        <w:t>包含因子</w:t>
      </w:r>
      <w:r>
        <w:rPr>
          <w:rFonts w:ascii="Times New Roman"/>
          <w:i/>
          <w:sz w:val="24"/>
          <w:szCs w:val="24"/>
        </w:rPr>
        <w:t>k</w:t>
      </w:r>
      <w:r>
        <w:rPr>
          <w:rFonts w:hint="eastAsia" w:ascii="Times New Roman" w:hAnsi="宋体"/>
          <w:sz w:val="24"/>
          <w:szCs w:val="24"/>
        </w:rPr>
        <w:t>=</w:t>
      </w:r>
      <w:r>
        <w:rPr>
          <w:rFonts w:ascii="Times New Roman"/>
          <w:sz w:val="24"/>
          <w:szCs w:val="24"/>
        </w:rPr>
        <w:t xml:space="preserve">2,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/>
                <w:sz w:val="24"/>
                <w:szCs w:val="24"/>
              </w:rPr>
              <m:t>U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sz w:val="24"/>
                <w:szCs w:val="24"/>
              </w:rPr>
              <m:t>rel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/>
          <w:rPr>
            <w:rFonts w:hint="eastAsia" w:ascii="Cambria Math"/>
            <w:sz w:val="24"/>
            <w:szCs w:val="24"/>
          </w:rPr>
          <m:t>＝</m:t>
        </m:r>
        <m:r>
          <m:rPr/>
          <w:rPr>
            <w:rFonts w:ascii="Cambria Math"/>
            <w:sz w:val="24"/>
            <w:szCs w:val="24"/>
          </w:rPr>
          <m:t>5%</m:t>
        </m:r>
      </m:oMath>
    </w:p>
    <w:p w14:paraId="7F974DF7"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换算成分贝表示，则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sz w:val="24"/>
              </w:rPr>
              <m:t>rel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/>
          <w:rPr>
            <w:rFonts w:ascii="Cambria Math"/>
            <w:sz w:val="24"/>
          </w:rPr>
          <m:t>=</m:t>
        </m:r>
      </m:oMath>
      <w:r>
        <w:rPr>
          <w:rFonts w:hint="eastAsia"/>
          <w:kern w:val="0"/>
          <w:sz w:val="24"/>
        </w:rPr>
        <w:t>0.5dB</w:t>
      </w:r>
      <w:r>
        <w:rPr>
          <w:sz w:val="24"/>
        </w:rPr>
        <w:t>（</w:t>
      </w:r>
      <w:r>
        <w:rPr>
          <w:i/>
          <w:iCs/>
          <w:sz w:val="24"/>
        </w:rPr>
        <w:t>k</w:t>
      </w:r>
      <w:r>
        <w:rPr>
          <w:sz w:val="24"/>
        </w:rPr>
        <w:t>=2）</w:t>
      </w:r>
    </w:p>
    <w:p w14:paraId="597852D2">
      <w:pPr>
        <w:spacing w:line="300" w:lineRule="auto"/>
        <w:rPr>
          <w:sz w:val="24"/>
        </w:rPr>
      </w:pPr>
    </w:p>
    <w:p w14:paraId="42687C53">
      <w:pPr>
        <w:spacing w:line="300" w:lineRule="auto"/>
        <w:rPr>
          <w:sz w:val="24"/>
        </w:rPr>
      </w:pPr>
    </w:p>
    <w:p w14:paraId="1A7B3446">
      <w:pPr>
        <w:spacing w:line="30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  <w:lang w:val="en-US" w:eastAsia="zh-CN"/>
        </w:rPr>
        <w:t>交变磁强计磁场强度</w:t>
      </w:r>
      <w:r>
        <w:rPr>
          <w:sz w:val="24"/>
        </w:rPr>
        <w:t>校准不确定度评定</w:t>
      </w:r>
    </w:p>
    <w:p w14:paraId="0095867A">
      <w:pPr>
        <w:spacing w:line="30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.1测量模型及不确定度传播律</w:t>
      </w:r>
    </w:p>
    <w:p w14:paraId="719DFC8D">
      <w:pPr>
        <w:autoSpaceDE w:val="0"/>
        <w:autoSpaceDN w:val="0"/>
        <w:adjustRightInd w:val="0"/>
        <w:spacing w:line="300" w:lineRule="auto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.1.1 测量模型</w:t>
      </w:r>
    </w:p>
    <w:p w14:paraId="583C82FF">
      <w:pPr>
        <w:autoSpaceDE w:val="0"/>
        <w:autoSpaceDN w:val="0"/>
        <w:adjustRightInd w:val="0"/>
        <w:spacing w:line="300" w:lineRule="auto"/>
        <w:ind w:firstLine="840" w:firstLineChars="350"/>
        <w:jc w:val="left"/>
        <w:rPr>
          <w:rFonts w:hint="eastAsia"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宋体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</w:rPr>
                <m:t>H</m:t>
              </m:r>
              <m:ctrlPr>
                <w:rPr>
                  <w:rFonts w:ascii="Cambria Math" w:hAnsi="宋体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</w:rPr>
                <m:t>x</m:t>
              </m:r>
              <m:ctrlPr>
                <w:rPr>
                  <w:rFonts w:ascii="Cambria Math" w:hAnsi="宋体"/>
                  <w:i/>
                  <w:sz w:val="24"/>
                </w:rPr>
              </m:ctrlPr>
            </m:sub>
          </m:sSub>
          <m:r>
            <m:rPr/>
            <w:rPr>
              <w:rFonts w:ascii="Cambria Math" w:hAnsi="宋体"/>
              <w:sz w:val="24"/>
            </w:rPr>
            <m:t>=</m:t>
          </m:r>
          <m:f>
            <m:fPr>
              <m:ctrlPr>
                <w:rPr>
                  <w:rFonts w:ascii="Cambria Math" w:hAnsi="宋体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宋体"/>
                  <w:sz w:val="24"/>
                </w:rPr>
                <m:t>0.7155</m:t>
              </m:r>
              <m:r>
                <m:rPr/>
                <w:rPr>
                  <w:rFonts w:hint="eastAsia" w:ascii="MS Gothic" w:hAnsi="MS Gothic" w:eastAsia="MS Gothic" w:cs="MS Gothic"/>
                  <w:sz w:val="24"/>
                </w:rPr>
                <m:t>⋅</m:t>
              </m:r>
              <m:r>
                <m:rPr/>
                <w:rPr>
                  <w:rFonts w:ascii="Cambria Math" w:hAnsi="宋体"/>
                  <w:sz w:val="24"/>
                </w:rPr>
                <m:t>N</m:t>
              </m:r>
              <m:r>
                <m:rPr/>
                <w:rPr>
                  <w:rFonts w:hint="eastAsia" w:ascii="MS Gothic" w:hAnsi="MS Gothic" w:eastAsia="MS Gothic" w:cs="MS Gothic"/>
                  <w:sz w:val="24"/>
                </w:rPr>
                <m:t>⋅</m:t>
              </m:r>
              <m:r>
                <m:rPr/>
                <w:rPr>
                  <w:rFonts w:ascii="Cambria Math" w:hAnsi="宋体"/>
                  <w:sz w:val="24"/>
                </w:rPr>
                <m:t>I</m:t>
              </m:r>
              <m:ctrlPr>
                <w:rPr>
                  <w:rFonts w:ascii="Cambria Math" w:hAnsi="宋体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宋体"/>
                  <w:sz w:val="24"/>
                </w:rPr>
                <m:t>r</m:t>
              </m:r>
              <m:ctrlPr>
                <w:rPr>
                  <w:rFonts w:hint="eastAsia" w:ascii="Cambria Math" w:hAnsi="Cambria Math"/>
                  <w:i/>
                  <w:sz w:val="24"/>
                </w:rPr>
              </m:ctrlPr>
            </m:den>
          </m:f>
        </m:oMath>
      </m:oMathPara>
    </w:p>
    <w:p w14:paraId="1812556D">
      <w:pPr>
        <w:autoSpaceDE w:val="0"/>
        <w:autoSpaceDN w:val="0"/>
        <w:adjustRightInd w:val="0"/>
        <w:spacing w:line="300" w:lineRule="auto"/>
        <w:ind w:firstLine="840" w:firstLineChars="350"/>
        <w:jc w:val="left"/>
        <w:rPr>
          <w:sz w:val="24"/>
        </w:rPr>
      </w:pPr>
      <w:r>
        <w:rPr>
          <w:sz w:val="24"/>
        </w:rPr>
        <w:t xml:space="preserve">                </w:t>
      </w:r>
      <w:r>
        <w:rPr>
          <w:rFonts w:hint="eastAsia"/>
          <w:sz w:val="24"/>
        </w:rPr>
        <w:t>式中：</w:t>
      </w:r>
    </w:p>
    <w:p w14:paraId="4780DE2A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H</w:t>
      </w:r>
      <w:r>
        <w:rPr>
          <w:rFonts w:hint="eastAsia"/>
          <w:sz w:val="24"/>
          <w:vertAlign w:val="subscript"/>
        </w:rPr>
        <w:t>x</w:t>
      </w:r>
      <w:r>
        <w:rPr>
          <w:rFonts w:hint="eastAsia"/>
          <w:sz w:val="24"/>
        </w:rPr>
        <w:t>——磁场强度实际值，A/m</w:t>
      </w:r>
      <w:r>
        <w:rPr>
          <w:sz w:val="24"/>
        </w:rPr>
        <w:t>（1A/m≈1.256</w:t>
      </w:r>
      <w:bookmarkStart w:id="2" w:name="OLE_LINK1"/>
      <w:r>
        <w:rPr>
          <w:sz w:val="24"/>
        </w:rPr>
        <w:t>μT</w:t>
      </w:r>
      <w:bookmarkEnd w:id="2"/>
      <w:r>
        <w:rPr>
          <w:sz w:val="24"/>
        </w:rPr>
        <w:t>）</w:t>
      </w:r>
      <w:r>
        <w:rPr>
          <w:rFonts w:hint="eastAsia"/>
          <w:sz w:val="24"/>
        </w:rPr>
        <w:t>；</w:t>
      </w:r>
    </w:p>
    <w:p w14:paraId="018DCB43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V</w:t>
      </w:r>
      <w:r>
        <w:rPr>
          <w:rFonts w:hint="eastAsia"/>
          <w:sz w:val="24"/>
        </w:rPr>
        <w:t>——台式数字万用表监测电流，A；</w:t>
      </w:r>
    </w:p>
    <w:p w14:paraId="7699DD3C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N</w:t>
      </w:r>
      <w:r>
        <w:rPr>
          <w:rFonts w:hint="eastAsia"/>
          <w:sz w:val="24"/>
        </w:rPr>
        <w:t>——线圈匝数，N=60；</w:t>
      </w:r>
    </w:p>
    <w:p w14:paraId="0270E596">
      <w:pPr>
        <w:autoSpaceDE w:val="0"/>
        <w:autoSpaceDN w:val="0"/>
        <w:adjustRightInd w:val="0"/>
        <w:spacing w:line="300" w:lineRule="auto"/>
        <w:ind w:firstLine="480" w:firstLineChars="200"/>
        <w:jc w:val="left"/>
        <w:rPr>
          <w:sz w:val="24"/>
        </w:rPr>
      </w:pPr>
      <w:r>
        <w:rPr>
          <w:rFonts w:hint="eastAsia"/>
          <w:i/>
          <w:iCs/>
          <w:sz w:val="24"/>
        </w:rPr>
        <w:t>r</w:t>
      </w:r>
      <w:r>
        <w:rPr>
          <w:rFonts w:hint="eastAsia"/>
          <w:sz w:val="24"/>
        </w:rPr>
        <w:t>——线圈半径，0.3m；</w:t>
      </w:r>
    </w:p>
    <w:p w14:paraId="046329A6">
      <w:pPr>
        <w:autoSpaceDE w:val="0"/>
        <w:autoSpaceDN w:val="0"/>
        <w:adjustRightInd w:val="0"/>
        <w:spacing w:line="300" w:lineRule="auto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.1.2 不确定度传播律</w:t>
      </w:r>
    </w:p>
    <w:p w14:paraId="69A13058">
      <w:pPr>
        <w:autoSpaceDE w:val="0"/>
        <w:autoSpaceDN w:val="0"/>
        <w:adjustRightInd w:val="0"/>
        <w:spacing w:line="300" w:lineRule="auto"/>
        <w:jc w:val="left"/>
        <w:rPr>
          <w:sz w:val="24"/>
        </w:rPr>
      </w:pPr>
      <w:r>
        <w:rPr>
          <w:sz w:val="24"/>
        </w:rPr>
        <w:t xml:space="preserve">      </w:t>
      </w:r>
      <w:r>
        <w:rPr>
          <w:kern w:val="0"/>
          <w:position w:val="-22"/>
          <w:sz w:val="24"/>
          <w:lang w:val="zh-CN"/>
        </w:rPr>
        <w:object>
          <v:shape id="_x0000_i1035" o:spt="75" type="#_x0000_t75" style="height:24.75pt;width:4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1">
            <o:LockedField>false</o:LockedField>
          </o:OLEObject>
        </w:object>
      </w:r>
      <w:r>
        <w:rPr>
          <w:b/>
          <w:bCs/>
          <w:kern w:val="0"/>
          <w:sz w:val="24"/>
        </w:rPr>
        <w:t>=</w:t>
      </w:r>
      <w:r>
        <w:rPr>
          <w:kern w:val="0"/>
          <w:position w:val="-28"/>
          <w:sz w:val="24"/>
          <w:lang w:val="zh-CN"/>
        </w:rPr>
        <w:object>
          <v:shape id="_x0000_i1036" o:spt="75" type="#_x0000_t75" style="height:33.75pt;width:2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2">
            <o:LockedField>false</o:LockedField>
          </o:OLEObject>
        </w:object>
      </w:r>
      <w:r>
        <w:rPr>
          <w:kern w:val="0"/>
          <w:position w:val="-32"/>
          <w:sz w:val="24"/>
          <w:lang w:val="zh-CN"/>
        </w:rPr>
        <w:object>
          <v:shape id="_x0000_i1037" o:spt="75" type="#_x0000_t75" style="height:39.75pt;width:6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3">
            <o:LockedField>false</o:LockedField>
          </o:OLEObject>
        </w:object>
      </w:r>
      <w:r>
        <w:rPr>
          <w:b/>
          <w:bCs/>
          <w:kern w:val="0"/>
          <w:sz w:val="24"/>
        </w:rPr>
        <w:t>=</w:t>
      </w:r>
      <w:r>
        <w:rPr>
          <w:kern w:val="0"/>
          <w:position w:val="-28"/>
          <w:sz w:val="24"/>
          <w:lang w:val="zh-CN"/>
        </w:rPr>
        <w:object>
          <v:shape id="_x0000_i1038" o:spt="75" type="#_x0000_t75" style="height:33.75pt;width:2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4">
            <o:LockedField>false</o:LockedField>
          </o:OLEObject>
        </w:object>
      </w:r>
      <w:r>
        <w:rPr>
          <w:kern w:val="0"/>
          <w:position w:val="-12"/>
          <w:sz w:val="24"/>
          <w:lang w:val="zh-CN"/>
        </w:rPr>
        <w:object>
          <v:shape id="_x0000_i1039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5">
            <o:LockedField>false</o:LockedField>
          </o:OLEObject>
        </w:object>
      </w:r>
      <w:r>
        <w:rPr>
          <w:b/>
          <w:bCs/>
          <w:kern w:val="0"/>
          <w:sz w:val="24"/>
        </w:rPr>
        <w:t xml:space="preserve">   </w:t>
      </w:r>
      <w:r>
        <w:rPr>
          <w:kern w:val="0"/>
          <w:sz w:val="24"/>
        </w:rPr>
        <w:t xml:space="preserve">  </w:t>
      </w:r>
    </w:p>
    <w:p w14:paraId="6515B358">
      <w:pPr>
        <w:spacing w:line="300" w:lineRule="auto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.2  标准不确定度的评定</w:t>
      </w:r>
    </w:p>
    <w:p w14:paraId="0ECB20CC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） 台式数字万用</w:t>
      </w:r>
      <w:r>
        <w:rPr>
          <w:rFonts w:hint="eastAsia"/>
          <w:sz w:val="24"/>
        </w:rPr>
        <w:t>表</w:t>
      </w:r>
      <w:r>
        <w:rPr>
          <w:rFonts w:hint="eastAsia" w:hAnsi="宋体"/>
          <w:sz w:val="24"/>
        </w:rPr>
        <w:t>测量不准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1</w:t>
      </w:r>
    </w:p>
    <w:p w14:paraId="522FE014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台式数字万用</w:t>
      </w:r>
      <w:r>
        <w:rPr>
          <w:rFonts w:hint="eastAsia"/>
          <w:sz w:val="24"/>
        </w:rPr>
        <w:t>表的准确度为</w:t>
      </w:r>
      <w:r>
        <w:rPr>
          <w:szCs w:val="22"/>
          <w:lang w:bidi="ar"/>
        </w:rPr>
        <w:t>±0.5</w:t>
      </w:r>
      <w:r>
        <w:rPr>
          <w:rFonts w:hint="eastAsia"/>
          <w:sz w:val="24"/>
        </w:rPr>
        <w:t>%，</w:t>
      </w:r>
      <w:r>
        <w:rPr>
          <w:rFonts w:hint="eastAsia" w:hAnsi="宋体"/>
          <w:sz w:val="24"/>
        </w:rPr>
        <w:t>假设为均匀分布，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4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26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1D79E2BF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1rel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=0.5%/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=0.29%</m:t>
          </m:r>
        </m:oMath>
      </m:oMathPara>
    </w:p>
    <w:p w14:paraId="7C2C5FB6">
      <w:pPr>
        <w:spacing w:line="420" w:lineRule="exact"/>
        <w:rPr>
          <w:sz w:val="24"/>
        </w:rPr>
      </w:pPr>
      <w:r>
        <w:rPr>
          <w:rFonts w:hint="eastAsia"/>
          <w:sz w:val="24"/>
        </w:rPr>
        <w:t>2）可编程电源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2</w:t>
      </w:r>
    </w:p>
    <w:p w14:paraId="18ED65E7">
      <w:pPr>
        <w:spacing w:line="420" w:lineRule="exact"/>
        <w:ind w:firstLine="240" w:firstLineChars="100"/>
        <w:rPr>
          <w:sz w:val="24"/>
        </w:rPr>
      </w:pPr>
      <w:bookmarkStart w:id="3" w:name="OLE_LINK4"/>
      <w:r>
        <w:rPr>
          <w:rFonts w:hint="eastAsia"/>
          <w:sz w:val="24"/>
        </w:rPr>
        <w:t>可编程电源</w:t>
      </w:r>
      <w:bookmarkEnd w:id="3"/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最大允许误差</w:t>
      </w:r>
      <w:r>
        <w:rPr>
          <w:rFonts w:hint="eastAsia" w:ascii="宋体" w:hAnsi="宋体"/>
          <w:sz w:val="24"/>
        </w:rPr>
        <w:t>±</w:t>
      </w:r>
      <w:r>
        <w:rPr>
          <w:rFonts w:hint="eastAsia" w:hAnsi="宋体"/>
          <w:sz w:val="24"/>
        </w:rPr>
        <w:t>0.2%，假设为均匀分布，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4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27">
            <o:LockedField>false</o:LockedField>
          </o:OLEObject>
        </w:object>
      </w:r>
      <w:r>
        <w:rPr>
          <w:rFonts w:hint="eastAsia"/>
          <w:sz w:val="24"/>
        </w:rPr>
        <w:t>。则：</w:t>
      </w:r>
    </w:p>
    <w:p w14:paraId="3312A6A5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2rel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=0.2%/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 w:hAns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=0.12%</m:t>
          </m:r>
        </m:oMath>
      </m:oMathPara>
    </w:p>
    <w:p w14:paraId="6C5A8D14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3）线圈匝数不准引入的相对标准不确定度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3</w:t>
      </w:r>
    </w:p>
    <w:p w14:paraId="705BC2C1">
      <w:pPr>
        <w:spacing w:line="42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如果线圈的匝数较多，在获得匝数时难免需要进行测量产生误差。当亥姆霍兹线圈为60匝时，误差可以忽略。假设为均匀分布</w:t>
      </w:r>
      <w:r>
        <w:rPr>
          <w:sz w:val="24"/>
        </w:rPr>
        <w:t>，</w:t>
      </w:r>
      <w:r>
        <w:rPr>
          <w:rFonts w:hint="eastAsia"/>
          <w:sz w:val="24"/>
        </w:rPr>
        <w:t>则：</w:t>
      </w:r>
    </w:p>
    <w:p w14:paraId="565D9EDA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3rel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=0.1%/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=0%</m:t>
          </m:r>
        </m:oMath>
      </m:oMathPara>
    </w:p>
    <w:p w14:paraId="2CADE0DD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4）亥姆霍兹线圈制作不理想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5</w:t>
      </w:r>
    </w:p>
    <w:p w14:paraId="0282DD19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亥姆霍兹线圈制作不理想的因素包括半径误差、间距误差、失配，体现在对0.7155这个值的影响上。该影响量不大于</w:t>
      </w:r>
      <w:r>
        <w:rPr>
          <w:sz w:val="24"/>
        </w:rPr>
        <w:t>±</w:t>
      </w:r>
      <w:r>
        <w:rPr>
          <w:rFonts w:hint="eastAsia" w:hAnsi="宋体"/>
          <w:sz w:val="24"/>
        </w:rPr>
        <w:t>1.5%，</w:t>
      </w:r>
      <w:r>
        <w:rPr>
          <w:rFonts w:hint="eastAsia"/>
          <w:sz w:val="24"/>
        </w:rPr>
        <w:t>假设为均匀分布</w:t>
      </w:r>
      <w:r>
        <w:rPr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4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28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114673C2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4rel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=1.5%/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=0.87%</m:t>
          </m:r>
        </m:oMath>
      </m:oMathPara>
    </w:p>
    <w:p w14:paraId="75357351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5）场不均匀性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6</w:t>
      </w:r>
    </w:p>
    <w:p w14:paraId="2FCDAEA1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在对工频磁场测量仪进行校准时，磁场信号穿过探头感应线圈的中心，并与线圈平面垂直，探头感应线圈区域内所有位置的磁场强度被认为都等于中心场强，而实际上感应线圈平面内磁场分布并不均匀。当感应线圈的直径为10cm，亥姆霍兹线圈的半径为30cm时，计算结果显示，场不均匀性导致的相对偏差范围为(0~5) %，区间半宽为2.5%，</w:t>
      </w:r>
      <w:r>
        <w:rPr>
          <w:rFonts w:hint="eastAsia"/>
          <w:sz w:val="24"/>
        </w:rPr>
        <w:t>假设为均匀分布</w:t>
      </w:r>
      <w:r>
        <w:rPr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4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29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0117E654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5rel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=2.5%/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=1.44%</m:t>
          </m:r>
        </m:oMath>
      </m:oMathPara>
    </w:p>
    <w:p w14:paraId="0B0B3F96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6）环境电磁噪声引入的相对标准不确定度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7</w:t>
      </w:r>
    </w:p>
    <w:p w14:paraId="0F20FFE7">
      <w:pPr>
        <w:spacing w:line="420" w:lineRule="exact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被校低频磁场测量仪上显示的磁场噪声最大为0.044A/m，以校准1A/m为例，噪声引入的相对偏差为(0~4.4)%，区间半宽为2.2%，</w:t>
      </w:r>
      <w:r>
        <w:rPr>
          <w:rFonts w:hint="eastAsia"/>
          <w:sz w:val="24"/>
        </w:rPr>
        <w:t>假设为均匀分布</w:t>
      </w:r>
      <w:r>
        <w:rPr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>
          <v:shape id="_x0000_i104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0">
            <o:LockedField>false</o:LockedField>
          </o:OLEObject>
        </w:object>
      </w:r>
      <w:r>
        <w:rPr>
          <w:rFonts w:hint="eastAsia"/>
          <w:sz w:val="24"/>
        </w:rPr>
        <w:t>，则：</w:t>
      </w:r>
    </w:p>
    <w:p w14:paraId="3C724097">
      <w:pPr>
        <w:spacing w:line="420" w:lineRule="exact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6rel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=2.2%/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/>
              <w:sz w:val="24"/>
            </w:rPr>
            <m:t>=1.27%</m:t>
          </m:r>
        </m:oMath>
      </m:oMathPara>
    </w:p>
    <w:p w14:paraId="28D0813E">
      <w:pPr>
        <w:spacing w:line="420" w:lineRule="exact"/>
        <w:rPr>
          <w:rFonts w:hint="eastAsia" w:hAnsi="宋体"/>
          <w:sz w:val="24"/>
        </w:rPr>
      </w:pPr>
    </w:p>
    <w:p w14:paraId="7A7F81D7">
      <w:pPr>
        <w:spacing w:line="420" w:lineRule="exact"/>
        <w:rPr>
          <w:sz w:val="24"/>
        </w:rPr>
      </w:pPr>
      <w:r>
        <w:rPr>
          <w:rFonts w:hint="eastAsia" w:hAnsi="宋体"/>
          <w:sz w:val="24"/>
        </w:rPr>
        <w:t>7）测量重复性</w:t>
      </w:r>
      <w:r>
        <w:rPr>
          <w:rFonts w:hAnsi="宋体"/>
          <w:sz w:val="24"/>
        </w:rPr>
        <w:t>引入</w:t>
      </w:r>
      <w:r>
        <w:rPr>
          <w:rFonts w:hint="eastAsia" w:hAnsi="宋体"/>
          <w:sz w:val="24"/>
        </w:rPr>
        <w:t>的相对标准不确定度</w:t>
      </w:r>
      <w:r>
        <w:rPr>
          <w:rFonts w:hint="eastAsia" w:hAnsi="宋体"/>
          <w:i/>
          <w:sz w:val="24"/>
        </w:rPr>
        <w:t>u</w:t>
      </w:r>
      <w:r>
        <w:rPr>
          <w:rFonts w:hint="eastAsia" w:hAnsi="宋体"/>
          <w:sz w:val="24"/>
          <w:vertAlign w:val="subscript"/>
        </w:rPr>
        <w:t>6</w:t>
      </w:r>
    </w:p>
    <w:p w14:paraId="0A545136">
      <w:pPr>
        <w:spacing w:line="300" w:lineRule="auto"/>
        <w:ind w:firstLine="480" w:firstLineChars="200"/>
        <w:rPr>
          <w:sz w:val="24"/>
        </w:rPr>
      </w:pPr>
      <w:r>
        <w:rPr>
          <w:sz w:val="24"/>
        </w:rPr>
        <w:t>对被测电场测量仪</w:t>
      </w:r>
      <w:r>
        <w:rPr>
          <w:rFonts w:hint="eastAsia"/>
          <w:sz w:val="24"/>
        </w:rPr>
        <w:t>50.00</w:t>
      </w:r>
      <w:r>
        <w:rPr>
          <w:sz w:val="24"/>
        </w:rPr>
        <w:t>Hz，</w:t>
      </w:r>
      <w:r>
        <w:rPr>
          <w:rFonts w:hint="eastAsia"/>
          <w:sz w:val="24"/>
        </w:rPr>
        <w:t>100A</w:t>
      </w:r>
      <w:r>
        <w:rPr>
          <w:sz w:val="24"/>
        </w:rPr>
        <w:t>/m下的电场强度进行10次测量数据如下表：</w:t>
      </w:r>
    </w:p>
    <w:p w14:paraId="495A58D1">
      <w:pPr>
        <w:spacing w:line="300" w:lineRule="auto"/>
        <w:ind w:firstLine="420" w:firstLineChars="200"/>
        <w:jc w:val="center"/>
        <w:rPr>
          <w:szCs w:val="21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68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</w:tblGrid>
      <w:tr w14:paraId="42DF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36" w:type="dxa"/>
            <w:vAlign w:val="center"/>
          </w:tcPr>
          <w:p w14:paraId="07C5235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次数</w:t>
            </w:r>
          </w:p>
        </w:tc>
        <w:tc>
          <w:tcPr>
            <w:tcW w:w="868" w:type="dxa"/>
            <w:vAlign w:val="center"/>
          </w:tcPr>
          <w:p w14:paraId="548436C6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4" w:type="dxa"/>
            <w:vAlign w:val="center"/>
          </w:tcPr>
          <w:p w14:paraId="27E54C80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 w14:paraId="74D3806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 w14:paraId="773C1B57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4" w:type="dxa"/>
            <w:vAlign w:val="center"/>
          </w:tcPr>
          <w:p w14:paraId="4D27CE92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44" w:type="dxa"/>
            <w:vAlign w:val="center"/>
          </w:tcPr>
          <w:p w14:paraId="7DFE0CB3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44" w:type="dxa"/>
            <w:vAlign w:val="center"/>
          </w:tcPr>
          <w:p w14:paraId="78966F34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44" w:type="dxa"/>
            <w:vAlign w:val="center"/>
          </w:tcPr>
          <w:p w14:paraId="31BD5110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44" w:type="dxa"/>
            <w:vAlign w:val="center"/>
          </w:tcPr>
          <w:p w14:paraId="0078014B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44" w:type="dxa"/>
            <w:vAlign w:val="center"/>
          </w:tcPr>
          <w:p w14:paraId="5E5680F3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14:paraId="6C014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236" w:type="dxa"/>
            <w:vAlign w:val="center"/>
          </w:tcPr>
          <w:p w14:paraId="0B565F75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示值（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/m）</w:t>
            </w:r>
          </w:p>
        </w:tc>
        <w:tc>
          <w:tcPr>
            <w:tcW w:w="868" w:type="dxa"/>
            <w:vAlign w:val="center"/>
          </w:tcPr>
          <w:p w14:paraId="518D2294">
            <w:pPr>
              <w:widowControl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98.2</w:t>
            </w:r>
          </w:p>
        </w:tc>
        <w:tc>
          <w:tcPr>
            <w:tcW w:w="744" w:type="dxa"/>
            <w:vAlign w:val="center"/>
          </w:tcPr>
          <w:p w14:paraId="4E248288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97.9</w:t>
            </w:r>
          </w:p>
        </w:tc>
        <w:tc>
          <w:tcPr>
            <w:tcW w:w="744" w:type="dxa"/>
            <w:vAlign w:val="center"/>
          </w:tcPr>
          <w:p w14:paraId="2C80FB3C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97.6</w:t>
            </w:r>
          </w:p>
        </w:tc>
        <w:tc>
          <w:tcPr>
            <w:tcW w:w="744" w:type="dxa"/>
            <w:vAlign w:val="center"/>
          </w:tcPr>
          <w:p w14:paraId="291FB702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101</w:t>
            </w:r>
          </w:p>
        </w:tc>
        <w:tc>
          <w:tcPr>
            <w:tcW w:w="744" w:type="dxa"/>
            <w:vAlign w:val="center"/>
          </w:tcPr>
          <w:p w14:paraId="51E6ADC4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100.1</w:t>
            </w:r>
          </w:p>
        </w:tc>
        <w:tc>
          <w:tcPr>
            <w:tcW w:w="744" w:type="dxa"/>
            <w:vAlign w:val="center"/>
          </w:tcPr>
          <w:p w14:paraId="0495C140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100.7</w:t>
            </w:r>
          </w:p>
        </w:tc>
        <w:tc>
          <w:tcPr>
            <w:tcW w:w="744" w:type="dxa"/>
            <w:vAlign w:val="center"/>
          </w:tcPr>
          <w:p w14:paraId="4AFB18D9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101.8</w:t>
            </w:r>
          </w:p>
        </w:tc>
        <w:tc>
          <w:tcPr>
            <w:tcW w:w="744" w:type="dxa"/>
            <w:vAlign w:val="center"/>
          </w:tcPr>
          <w:p w14:paraId="624CA7CE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101.3</w:t>
            </w:r>
          </w:p>
        </w:tc>
        <w:tc>
          <w:tcPr>
            <w:tcW w:w="744" w:type="dxa"/>
            <w:vAlign w:val="center"/>
          </w:tcPr>
          <w:p w14:paraId="7DCA7D60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98.6</w:t>
            </w:r>
          </w:p>
        </w:tc>
        <w:tc>
          <w:tcPr>
            <w:tcW w:w="744" w:type="dxa"/>
            <w:vAlign w:val="center"/>
          </w:tcPr>
          <w:p w14:paraId="6DB45EA8">
            <w:pPr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98.8</w:t>
            </w:r>
          </w:p>
        </w:tc>
      </w:tr>
    </w:tbl>
    <w:p w14:paraId="77C669D4">
      <w:pPr>
        <w:tabs>
          <w:tab w:val="left" w:pos="4110"/>
        </w:tabs>
        <w:spacing w:line="300" w:lineRule="auto"/>
        <w:jc w:val="center"/>
        <w:rPr>
          <w:sz w:val="24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4"/>
                </w:rPr>
              </m:ctrlPr>
            </m:barPr>
            <m:e>
              <m:r>
                <m:rPr/>
                <w:rPr>
                  <w:rFonts w:ascii="Cambria Math"/>
                  <w:sz w:val="24"/>
                </w:rPr>
                <m:t>x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</m:bar>
          <m:r>
            <m:rPr/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/>
                <w:rPr>
                  <w:rFonts w:ascii="Cambria Math"/>
                  <w:sz w:val="24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r>
                <m:rPr/>
                <w:rPr>
                  <w:rFonts w:ascii="Cambria Math"/>
                  <w:sz w:val="24"/>
                </w:rPr>
                <m:t>n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den>
          </m:f>
          <m:r>
            <m:rPr/>
            <w:rPr>
              <w:rFonts w:ascii="Cambria Math" w:hAnsi="Cambria Math"/>
              <w:sz w:val="24"/>
            </w:rPr>
            <m:t>99.6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m:rPr>
                  <m:nor/>
                  <m:sty m:val="p"/>
                </m:rPr>
                <w:rPr>
                  <w:rFonts w:hint="eastAsia" w:ascii="Cambria Math"/>
                  <w:b w:val="0"/>
                  <w:i w:val="0"/>
                  <w:sz w:val="24"/>
                </w:rPr>
                <m:t>A</m:t>
              </m:r>
              <m:r>
                <m:rPr>
                  <m:nor/>
                  <m:sty m:val="p"/>
                </m:rPr>
                <w:rPr>
                  <w:rFonts w:ascii="Cambria Math"/>
                  <w:b w:val="0"/>
                  <w:i w:val="0"/>
                  <w:sz w:val="24"/>
                </w:rPr>
                <m:t>/m</m:t>
              </m:r>
              <m:ctrlPr>
                <w:rPr>
                  <w:rFonts w:ascii="Cambria Math" w:hAnsi="Cambria Math"/>
                  <w:sz w:val="24"/>
                </w:rPr>
              </m:ctrlPr>
            </m:e>
          </m:d>
        </m:oMath>
      </m:oMathPara>
    </w:p>
    <w:p w14:paraId="087BDE34">
      <w:pPr>
        <w:spacing w:line="300" w:lineRule="auto"/>
        <w:ind w:firstLine="480" w:firstLineChars="200"/>
      </w:pPr>
      <w:r>
        <w:rPr>
          <w:sz w:val="24"/>
        </w:rPr>
        <w:t>单次试验的标准差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hint="eastAsia"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m:rPr/>
                      <w:rPr>
                        <w:rFonts w:ascii="Cambria Math"/>
                      </w:rPr>
                      <m:t>i=1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r>
                      <m:rPr/>
                      <w:rPr>
                        <w:rFonts w:asci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/>
                              </w:rPr>
                              <m:t>−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barPr>
                              <m:e>
                                <m:r>
                                  <m:rPr/>
                                  <w:rPr>
                                    <w:rFonts w:asci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e>
                            </m:ba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nary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/>
                  </w:rPr>
                  <m:t>n−1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e>
        </m:rad>
        <m:r>
          <m:rPr/>
          <w:rPr>
            <w:rFonts w:ascii="Cambria Math"/>
          </w:rPr>
          <m:t>=1.55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hint="eastAsia" w:ascii="Cambria Math"/>
                <w:b w:val="0"/>
                <w:i w:val="0"/>
              </w:rPr>
              <m:t>A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/m</m:t>
            </m:r>
            <m:ctrlPr>
              <w:rPr>
                <w:rFonts w:ascii="Cambria Math" w:hAnsi="Cambria Math"/>
              </w:rPr>
            </m:ctrlPr>
          </m:e>
        </m:d>
      </m:oMath>
    </w:p>
    <w:p w14:paraId="3AC37BAD">
      <w:pPr>
        <w:spacing w:line="300" w:lineRule="auto"/>
        <w:ind w:firstLine="480" w:firstLineChars="200"/>
        <w:rPr>
          <w:i/>
          <w:iCs/>
        </w:rPr>
      </w:pPr>
      <w:r>
        <w:rPr>
          <w:sz w:val="24"/>
        </w:rPr>
        <w:t>以10次测量结果平均值的标准不确定度作为重复性引入的</w:t>
      </w:r>
      <w:r>
        <w:rPr>
          <w:rFonts w:hint="eastAsia"/>
          <w:sz w:val="24"/>
        </w:rPr>
        <w:t>相对不确定度</w:t>
      </w:r>
      <w:r>
        <w:rPr>
          <w:i/>
          <w:iCs/>
        </w:rPr>
        <w:t xml:space="preserve"> </w:t>
      </w:r>
    </w:p>
    <w:p w14:paraId="771ADB72">
      <w:pPr>
        <w:spacing w:line="300" w:lineRule="auto"/>
        <w:ind w:firstLine="420" w:firstLineChars="20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/>
              </w:rPr>
              <m:t>u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/>
              </w:rPr>
              <m:t>6rel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rFonts w:hint="eastAsia"/>
          <w:sz w:val="24"/>
        </w:rPr>
        <w:t>=1.56%</w:t>
      </w:r>
    </w:p>
    <w:p w14:paraId="5784F3D1">
      <w:pPr>
        <w:spacing w:line="420" w:lineRule="exact"/>
        <w:rPr>
          <w:rFonts w:hint="eastAsia" w:hAnsi="宋体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.3</w:t>
      </w:r>
      <w:r>
        <w:rPr>
          <w:rFonts w:hint="eastAsia" w:hAnsi="宋体"/>
          <w:sz w:val="24"/>
        </w:rPr>
        <w:t>合成标准不确定度</w:t>
      </w:r>
    </w:p>
    <w:p w14:paraId="445DA43B">
      <w:pPr>
        <w:spacing w:line="42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磁场强度测量不确定度主要分量见表C.1</w:t>
      </w:r>
    </w:p>
    <w:p w14:paraId="0621639C">
      <w:pPr>
        <w:pStyle w:val="48"/>
        <w:spacing w:before="156" w:beforeLines="50"/>
        <w:ind w:firstLine="0" w:firstLineChars="0"/>
        <w:jc w:val="center"/>
        <w:rPr>
          <w:szCs w:val="21"/>
        </w:rPr>
      </w:pPr>
      <w:r>
        <w:rPr>
          <w:rFonts w:hint="eastAsia" w:ascii="黑体" w:hAnsi="黑体" w:eastAsia="黑体"/>
          <w:szCs w:val="21"/>
        </w:rPr>
        <w:t>表C.1 磁场强度测量不确定度分量汇总表（1A/m,100kHz）</w:t>
      </w:r>
    </w:p>
    <w:tbl>
      <w:tblPr>
        <w:tblStyle w:val="14"/>
        <w:tblW w:w="401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6"/>
        <w:gridCol w:w="2807"/>
        <w:gridCol w:w="1882"/>
      </w:tblGrid>
      <w:tr w14:paraId="23FB4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0191DE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不确定度分量</w:t>
            </w: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885" w:type="pct"/>
            <w:vAlign w:val="center"/>
          </w:tcPr>
          <w:p w14:paraId="5118BC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分布</w:t>
            </w:r>
          </w:p>
        </w:tc>
        <w:tc>
          <w:tcPr>
            <w:tcW w:w="1264" w:type="pct"/>
            <w:vAlign w:val="center"/>
          </w:tcPr>
          <w:p w14:paraId="5C489368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标准不确定度分量</w:t>
            </w:r>
          </w:p>
        </w:tc>
      </w:tr>
      <w:tr w14:paraId="4EEA2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134482B3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1</w:t>
            </w:r>
            <w:r>
              <w:rPr>
                <w:rFonts w:hint="eastAsia"/>
                <w:sz w:val="24"/>
              </w:rPr>
              <w:t>台式数字用表</w:t>
            </w:r>
          </w:p>
        </w:tc>
        <w:tc>
          <w:tcPr>
            <w:tcW w:w="1885" w:type="pct"/>
            <w:vAlign w:val="center"/>
          </w:tcPr>
          <w:p w14:paraId="1BC48F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</w:tcPr>
          <w:p w14:paraId="659D3328">
            <w:pPr>
              <w:jc w:val="center"/>
              <w:rPr>
                <w:rFonts w:hint="eastAsia" w:hAnsi="宋体"/>
                <w:iCs/>
                <w:sz w:val="24"/>
              </w:rPr>
            </w:pPr>
            <w:r>
              <w:rPr>
                <w:rFonts w:hAnsi="宋体"/>
                <w:iCs/>
                <w:sz w:val="24"/>
              </w:rPr>
              <w:t>0.290%</w:t>
            </w:r>
          </w:p>
        </w:tc>
      </w:tr>
      <w:tr w14:paraId="405E6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109BDB30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可编程电源</w:t>
            </w:r>
          </w:p>
        </w:tc>
        <w:tc>
          <w:tcPr>
            <w:tcW w:w="1885" w:type="pct"/>
            <w:vAlign w:val="center"/>
          </w:tcPr>
          <w:p w14:paraId="50FED499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</w:tcPr>
          <w:p w14:paraId="6244CC58">
            <w:pPr>
              <w:jc w:val="center"/>
              <w:rPr>
                <w:rFonts w:hint="eastAsia" w:hAnsi="宋体"/>
                <w:iCs/>
                <w:sz w:val="24"/>
              </w:rPr>
            </w:pPr>
            <w:r>
              <w:rPr>
                <w:rFonts w:hAnsi="宋体"/>
                <w:iCs/>
                <w:sz w:val="24"/>
              </w:rPr>
              <w:t>0.120%</w:t>
            </w:r>
          </w:p>
        </w:tc>
      </w:tr>
      <w:tr w14:paraId="241B4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29C81239">
            <w:pPr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3</w:t>
            </w:r>
            <w:r>
              <w:rPr>
                <w:rFonts w:hint="eastAsia" w:hAnsi="宋体"/>
                <w:sz w:val="24"/>
              </w:rPr>
              <w:t>线圈匝数不准</w:t>
            </w:r>
          </w:p>
        </w:tc>
        <w:tc>
          <w:tcPr>
            <w:tcW w:w="1885" w:type="pct"/>
            <w:vAlign w:val="center"/>
          </w:tcPr>
          <w:p w14:paraId="0485F307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</w:tcPr>
          <w:p w14:paraId="1CD9FCB7">
            <w:pPr>
              <w:jc w:val="center"/>
              <w:rPr>
                <w:rFonts w:hint="eastAsia" w:hAnsi="宋体"/>
                <w:iCs/>
                <w:sz w:val="24"/>
              </w:rPr>
            </w:pPr>
            <w:r>
              <w:rPr>
                <w:rFonts w:hAnsi="宋体"/>
                <w:iCs/>
                <w:sz w:val="24"/>
              </w:rPr>
              <w:t>0.000%</w:t>
            </w:r>
          </w:p>
        </w:tc>
      </w:tr>
      <w:tr w14:paraId="63DB0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6EFC7EBB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亥姆霍兹线圈制作不理想</w:t>
            </w:r>
          </w:p>
        </w:tc>
        <w:tc>
          <w:tcPr>
            <w:tcW w:w="1885" w:type="pct"/>
            <w:vAlign w:val="center"/>
          </w:tcPr>
          <w:p w14:paraId="3C185983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</w:tcPr>
          <w:p w14:paraId="33C2A1F6">
            <w:pPr>
              <w:jc w:val="center"/>
              <w:rPr>
                <w:rFonts w:hint="eastAsia" w:hAnsi="宋体"/>
                <w:iCs/>
                <w:sz w:val="24"/>
              </w:rPr>
            </w:pPr>
            <w:r>
              <w:rPr>
                <w:rFonts w:hAnsi="宋体"/>
                <w:iCs/>
                <w:sz w:val="24"/>
              </w:rPr>
              <w:t>0.870%</w:t>
            </w:r>
          </w:p>
        </w:tc>
      </w:tr>
      <w:tr w14:paraId="308BD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4B704D20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5</w:t>
            </w:r>
            <w:r>
              <w:rPr>
                <w:rFonts w:hint="eastAsia"/>
                <w:sz w:val="24"/>
              </w:rPr>
              <w:t>场不均匀性</w:t>
            </w:r>
          </w:p>
        </w:tc>
        <w:tc>
          <w:tcPr>
            <w:tcW w:w="1885" w:type="pct"/>
            <w:vAlign w:val="center"/>
          </w:tcPr>
          <w:p w14:paraId="22064D2D">
            <w:pPr>
              <w:jc w:val="center"/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</w:tcPr>
          <w:p w14:paraId="4880DA33">
            <w:pPr>
              <w:jc w:val="center"/>
              <w:rPr>
                <w:rFonts w:hint="eastAsia" w:hAnsi="宋体"/>
                <w:iCs/>
                <w:sz w:val="24"/>
              </w:rPr>
            </w:pPr>
            <w:r>
              <w:rPr>
                <w:rFonts w:hAnsi="宋体"/>
                <w:iCs/>
                <w:sz w:val="24"/>
              </w:rPr>
              <w:t>1.440%</w:t>
            </w:r>
          </w:p>
        </w:tc>
      </w:tr>
      <w:tr w14:paraId="6905A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0304AE55">
            <w:pPr>
              <w:jc w:val="center"/>
              <w:rPr>
                <w:rFonts w:hint="eastAsia" w:hAnsi="宋体"/>
                <w:i/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6</w:t>
            </w:r>
            <w:r>
              <w:rPr>
                <w:rFonts w:hint="eastAsia" w:hAnsi="宋体"/>
                <w:sz w:val="24"/>
              </w:rPr>
              <w:t>环境电磁噪声引入的相对标准不确定度</w:t>
            </w:r>
          </w:p>
        </w:tc>
        <w:tc>
          <w:tcPr>
            <w:tcW w:w="1885" w:type="pct"/>
            <w:vAlign w:val="center"/>
          </w:tcPr>
          <w:p w14:paraId="6C3F61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均匀</w:t>
            </w:r>
          </w:p>
        </w:tc>
        <w:tc>
          <w:tcPr>
            <w:tcW w:w="1264" w:type="pct"/>
          </w:tcPr>
          <w:p w14:paraId="6F8AD380">
            <w:pPr>
              <w:jc w:val="center"/>
              <w:rPr>
                <w:rFonts w:hint="eastAsia" w:hAnsi="宋体"/>
                <w:iCs/>
                <w:sz w:val="24"/>
              </w:rPr>
            </w:pPr>
            <w:r>
              <w:rPr>
                <w:rFonts w:hAnsi="宋体"/>
                <w:iCs/>
                <w:sz w:val="24"/>
              </w:rPr>
              <w:t>1.270%</w:t>
            </w:r>
          </w:p>
        </w:tc>
      </w:tr>
      <w:tr w14:paraId="50938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1" w:type="pct"/>
            <w:vAlign w:val="center"/>
          </w:tcPr>
          <w:p w14:paraId="4B5EC4D8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i/>
                <w:sz w:val="24"/>
              </w:rPr>
              <w:t>u</w:t>
            </w:r>
            <w:r>
              <w:rPr>
                <w:rFonts w:hint="eastAsia" w:hAnsi="宋体"/>
                <w:sz w:val="24"/>
                <w:vertAlign w:val="subscript"/>
              </w:rPr>
              <w:t>7</w:t>
            </w:r>
            <w:r>
              <w:rPr>
                <w:rFonts w:hint="eastAsia"/>
                <w:sz w:val="24"/>
              </w:rPr>
              <w:t>测量结果的重复性</w:t>
            </w:r>
          </w:p>
        </w:tc>
        <w:tc>
          <w:tcPr>
            <w:tcW w:w="1885" w:type="pct"/>
            <w:vAlign w:val="center"/>
          </w:tcPr>
          <w:p w14:paraId="624148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正态</w:t>
            </w:r>
          </w:p>
        </w:tc>
        <w:tc>
          <w:tcPr>
            <w:tcW w:w="1264" w:type="pct"/>
            <w:vAlign w:val="center"/>
          </w:tcPr>
          <w:p w14:paraId="4B1B32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1.57%</w:t>
            </w:r>
          </w:p>
        </w:tc>
      </w:tr>
    </w:tbl>
    <w:p w14:paraId="3E956870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各分量互不相关，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/>
                <w:sz w:val="24"/>
              </w:rPr>
              <m:t>C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/>
          <w:rPr>
            <w:rFonts w:ascii="Cambria Math"/>
            <w:sz w:val="24"/>
          </w:rPr>
          <m:t>(y)=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</w:rPr>
            </m:ctrlPr>
          </m:deg>
          <m:e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m:rPr/>
                  <w:rPr>
                    <w:rFonts w:ascii="Cambria Math"/>
                    <w:sz w:val="24"/>
                  </w:rPr>
                  <m:t>i=1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/>
                    <w:sz w:val="24"/>
                  </w:rPr>
                  <m:t>9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p>
              <m:e>
                <m:r>
                  <m:rPr/>
                  <w:rPr>
                    <w:rFonts w:ascii="Cambria Math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sz w:val="24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e>
                  <m:sub>
                    <m:r>
                      <m:rPr/>
                      <w:rPr>
                        <w:rFonts w:ascii="Cambria Math"/>
                        <w:sz w:val="24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nary>
            <m:r>
              <m:rPr/>
              <w:rPr>
                <w:rFonts w:ascii="Cambria Math" w:hAnsi="Cambria Math" w:cs="Cambria Math"/>
                <w:sz w:val="24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/>
                    <w:sz w:val="24"/>
                  </w:rPr>
                  <m:t>u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/>
                    <w:sz w:val="24"/>
                  </w:rPr>
                  <m:t>)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/>
                <w:i/>
                <w:sz w:val="24"/>
              </w:rPr>
            </m:ctrlPr>
          </m:e>
        </m:rad>
        <m:r>
          <m:rPr/>
          <w:rPr>
            <w:rFonts w:ascii="Cambria Math"/>
            <w:sz w:val="24"/>
          </w:rPr>
          <m:t>=2.64%</m:t>
        </m:r>
      </m:oMath>
    </w:p>
    <w:p w14:paraId="6097D4D0">
      <w:pPr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.4</w:t>
      </w:r>
      <w:r>
        <w:rPr>
          <w:rFonts w:hAnsi="宋体"/>
          <w:sz w:val="24"/>
        </w:rPr>
        <w:t>扩展不确定度</w:t>
      </w:r>
    </w:p>
    <w:p w14:paraId="479254E4">
      <w:pPr>
        <w:pStyle w:val="48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取</w:t>
      </w:r>
      <w:r>
        <w:rPr>
          <w:rFonts w:ascii="Times New Roman" w:hAnsi="宋体"/>
          <w:sz w:val="24"/>
          <w:szCs w:val="24"/>
        </w:rPr>
        <w:t>包含因子</w:t>
      </w:r>
      <w:r>
        <w:rPr>
          <w:rFonts w:ascii="Times New Roman"/>
          <w:i/>
          <w:sz w:val="24"/>
          <w:szCs w:val="24"/>
        </w:rPr>
        <w:t>k</w:t>
      </w:r>
      <w:r>
        <w:rPr>
          <w:rFonts w:hint="eastAsia" w:ascii="Times New Roman" w:hAnsi="宋体"/>
          <w:sz w:val="24"/>
          <w:szCs w:val="24"/>
        </w:rPr>
        <w:t>=</w:t>
      </w:r>
      <w:r>
        <w:rPr>
          <w:rFonts w:ascii="Times New Roman"/>
          <w:sz w:val="24"/>
          <w:szCs w:val="24"/>
        </w:rPr>
        <w:t xml:space="preserve">2,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/>
                <w:sz w:val="24"/>
                <w:szCs w:val="24"/>
              </w:rPr>
              <m:t>U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sz w:val="24"/>
                <w:szCs w:val="24"/>
              </w:rPr>
              <m:t>rel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  <m:r>
          <m:rPr/>
          <w:rPr>
            <w:rFonts w:hint="eastAsia" w:ascii="Cambria Math"/>
            <w:sz w:val="24"/>
            <w:szCs w:val="24"/>
          </w:rPr>
          <m:t>＝</m:t>
        </m:r>
        <m:r>
          <m:rPr/>
          <w:rPr>
            <w:rFonts w:ascii="Cambria Math"/>
            <w:sz w:val="24"/>
            <w:szCs w:val="24"/>
          </w:rPr>
          <m:t>5.3%</m:t>
        </m:r>
      </m:oMath>
    </w:p>
    <w:p w14:paraId="7748B5C8"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换算成分贝表示，则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sz w:val="24"/>
              </w:rPr>
              <m:t>rel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/>
          <w:rPr>
            <w:rFonts w:ascii="Cambria Math"/>
            <w:sz w:val="24"/>
          </w:rPr>
          <m:t>=</m:t>
        </m:r>
      </m:oMath>
      <w:r>
        <w:rPr>
          <w:rFonts w:hint="eastAsia"/>
          <w:kern w:val="0"/>
          <w:sz w:val="24"/>
        </w:rPr>
        <w:t>0.5dB</w:t>
      </w:r>
      <w:r>
        <w:rPr>
          <w:sz w:val="24"/>
        </w:rPr>
        <w:t>（</w:t>
      </w:r>
      <w:r>
        <w:rPr>
          <w:i/>
          <w:iCs/>
          <w:sz w:val="24"/>
        </w:rPr>
        <w:t>k</w:t>
      </w:r>
      <w:r>
        <w:rPr>
          <w:sz w:val="24"/>
        </w:rPr>
        <w:t>=2）</w:t>
      </w:r>
    </w:p>
    <w:bookmarkEnd w:id="0"/>
    <w:p w14:paraId="2E9867A5">
      <w:pPr>
        <w:spacing w:line="300" w:lineRule="auto"/>
        <w:rPr>
          <w:sz w:val="24"/>
        </w:rPr>
      </w:pPr>
    </w:p>
    <w:sectPr>
      <w:footerReference r:id="rId3" w:type="default"/>
      <w:pgSz w:w="11906" w:h="16838"/>
      <w:pgMar w:top="1440" w:right="865" w:bottom="1440" w:left="1979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342D6">
    <w:pPr>
      <w:pStyle w:val="1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3FBDA661">
    <w:pPr>
      <w:pStyle w:val="11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3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35"/>
      <w:suff w:val="nothing"/>
      <w:lvlText w:val="%1.%2.%3　"/>
      <w:lvlJc w:val="left"/>
      <w:pPr>
        <w:ind w:left="54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6"/>
      <w:suff w:val="nothing"/>
      <w:lvlText w:val="%1.%2.%3.%4　"/>
      <w:lvlJc w:val="left"/>
      <w:pPr>
        <w:ind w:left="36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49D9429E"/>
    <w:multiLevelType w:val="multilevel"/>
    <w:tmpl w:val="49D9429E"/>
    <w:lvl w:ilvl="0" w:tentative="0">
      <w:start w:val="1"/>
      <w:numFmt w:val="decimal"/>
      <w:pStyle w:val="44"/>
      <w:lvlText w:val="%1  "/>
      <w:lvlJc w:val="left"/>
      <w:pPr>
        <w:ind w:left="440" w:hanging="44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10A3E0E"/>
    <w:multiLevelType w:val="multilevel"/>
    <w:tmpl w:val="510A3E0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6736D04"/>
    <w:multiLevelType w:val="multilevel"/>
    <w:tmpl w:val="76736D04"/>
    <w:lvl w:ilvl="0" w:tentative="0">
      <w:start w:val="1"/>
      <w:numFmt w:val="lowerLetter"/>
      <w:pStyle w:val="41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59"/>
    <w:rsid w:val="000219E7"/>
    <w:rsid w:val="000264C8"/>
    <w:rsid w:val="0007030D"/>
    <w:rsid w:val="0007142B"/>
    <w:rsid w:val="00093698"/>
    <w:rsid w:val="000A2A98"/>
    <w:rsid w:val="000C151F"/>
    <w:rsid w:val="000C7E3E"/>
    <w:rsid w:val="000D16F7"/>
    <w:rsid w:val="000D6CD9"/>
    <w:rsid w:val="000F56C3"/>
    <w:rsid w:val="00193A78"/>
    <w:rsid w:val="001E08C0"/>
    <w:rsid w:val="001F0156"/>
    <w:rsid w:val="001F0BF8"/>
    <w:rsid w:val="00207F7D"/>
    <w:rsid w:val="002553EB"/>
    <w:rsid w:val="002A5491"/>
    <w:rsid w:val="002B7BA9"/>
    <w:rsid w:val="002E4696"/>
    <w:rsid w:val="00300329"/>
    <w:rsid w:val="00304F1B"/>
    <w:rsid w:val="003267CD"/>
    <w:rsid w:val="00337790"/>
    <w:rsid w:val="00353EDB"/>
    <w:rsid w:val="0036050C"/>
    <w:rsid w:val="003B0B1A"/>
    <w:rsid w:val="003B5FB7"/>
    <w:rsid w:val="004035FC"/>
    <w:rsid w:val="00432D64"/>
    <w:rsid w:val="00445C0B"/>
    <w:rsid w:val="004C565C"/>
    <w:rsid w:val="004C7AD5"/>
    <w:rsid w:val="004D23CB"/>
    <w:rsid w:val="004E097C"/>
    <w:rsid w:val="004F110F"/>
    <w:rsid w:val="00512C67"/>
    <w:rsid w:val="005320BA"/>
    <w:rsid w:val="0053664F"/>
    <w:rsid w:val="005628E5"/>
    <w:rsid w:val="0058421C"/>
    <w:rsid w:val="005A1354"/>
    <w:rsid w:val="005A3DE6"/>
    <w:rsid w:val="005D12D7"/>
    <w:rsid w:val="005E7261"/>
    <w:rsid w:val="00617E6D"/>
    <w:rsid w:val="0063186E"/>
    <w:rsid w:val="00652D20"/>
    <w:rsid w:val="006829B5"/>
    <w:rsid w:val="006F1060"/>
    <w:rsid w:val="006F207C"/>
    <w:rsid w:val="00712D0E"/>
    <w:rsid w:val="00736118"/>
    <w:rsid w:val="00741ED9"/>
    <w:rsid w:val="00785821"/>
    <w:rsid w:val="00796128"/>
    <w:rsid w:val="007A2E59"/>
    <w:rsid w:val="007C0459"/>
    <w:rsid w:val="007C47E2"/>
    <w:rsid w:val="007E248A"/>
    <w:rsid w:val="0083784F"/>
    <w:rsid w:val="008F34CF"/>
    <w:rsid w:val="0092554F"/>
    <w:rsid w:val="00932C25"/>
    <w:rsid w:val="00936F19"/>
    <w:rsid w:val="009739E8"/>
    <w:rsid w:val="009903F0"/>
    <w:rsid w:val="00992892"/>
    <w:rsid w:val="009B31A2"/>
    <w:rsid w:val="009B747B"/>
    <w:rsid w:val="009F3346"/>
    <w:rsid w:val="00A05C14"/>
    <w:rsid w:val="00A9186C"/>
    <w:rsid w:val="00AA11BA"/>
    <w:rsid w:val="00AB0CAB"/>
    <w:rsid w:val="00AF31FD"/>
    <w:rsid w:val="00B551CB"/>
    <w:rsid w:val="00B93371"/>
    <w:rsid w:val="00B96D7E"/>
    <w:rsid w:val="00BB2C38"/>
    <w:rsid w:val="00BF7CE0"/>
    <w:rsid w:val="00C02765"/>
    <w:rsid w:val="00C3685E"/>
    <w:rsid w:val="00C51DED"/>
    <w:rsid w:val="00C542E8"/>
    <w:rsid w:val="00C763E5"/>
    <w:rsid w:val="00C865EA"/>
    <w:rsid w:val="00CA2A9B"/>
    <w:rsid w:val="00CD6695"/>
    <w:rsid w:val="00D02498"/>
    <w:rsid w:val="00D05E85"/>
    <w:rsid w:val="00D47375"/>
    <w:rsid w:val="00D475E5"/>
    <w:rsid w:val="00D86356"/>
    <w:rsid w:val="00D8794E"/>
    <w:rsid w:val="00D967A4"/>
    <w:rsid w:val="00DD53E6"/>
    <w:rsid w:val="00DE0B85"/>
    <w:rsid w:val="00E47E2F"/>
    <w:rsid w:val="00E52339"/>
    <w:rsid w:val="00E527DA"/>
    <w:rsid w:val="00EA41CD"/>
    <w:rsid w:val="00EE69CB"/>
    <w:rsid w:val="00EF6959"/>
    <w:rsid w:val="00EF72ED"/>
    <w:rsid w:val="00F53DDE"/>
    <w:rsid w:val="00FA320F"/>
    <w:rsid w:val="00FB14CA"/>
    <w:rsid w:val="00FD79D9"/>
    <w:rsid w:val="00FE3568"/>
    <w:rsid w:val="00FF287A"/>
    <w:rsid w:val="00FF52D0"/>
    <w:rsid w:val="056A0C02"/>
    <w:rsid w:val="7C34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9"/>
    <w:basedOn w:val="1"/>
    <w:next w:val="1"/>
    <w:link w:val="25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7"/>
    <w:qFormat/>
    <w:uiPriority w:val="0"/>
    <w:pPr>
      <w:shd w:val="clear" w:color="auto" w:fill="000080"/>
    </w:pPr>
  </w:style>
  <w:style w:type="paragraph" w:styleId="7">
    <w:name w:val="annotation text"/>
    <w:basedOn w:val="1"/>
    <w:link w:val="29"/>
    <w:qFormat/>
    <w:uiPriority w:val="0"/>
    <w:pPr>
      <w:jc w:val="left"/>
    </w:pPr>
  </w:style>
  <w:style w:type="paragraph" w:styleId="8">
    <w:name w:val="Body Text"/>
    <w:basedOn w:val="1"/>
    <w:link w:val="46"/>
    <w:semiHidden/>
    <w:unhideWhenUsed/>
    <w:qFormat/>
    <w:uiPriority w:val="99"/>
    <w:pPr>
      <w:spacing w:after="120"/>
    </w:pPr>
  </w:style>
  <w:style w:type="paragraph" w:styleId="9">
    <w:name w:val="Date"/>
    <w:basedOn w:val="1"/>
    <w:next w:val="1"/>
    <w:link w:val="38"/>
    <w:qFormat/>
    <w:uiPriority w:val="0"/>
    <w:pPr>
      <w:ind w:left="100" w:leftChars="2500"/>
    </w:pPr>
  </w:style>
  <w:style w:type="paragraph" w:styleId="10">
    <w:name w:val="Balloon Text"/>
    <w:basedOn w:val="1"/>
    <w:link w:val="32"/>
    <w:qFormat/>
    <w:uiPriority w:val="0"/>
    <w:rPr>
      <w:sz w:val="18"/>
      <w:szCs w:val="18"/>
    </w:rPr>
  </w:style>
  <w:style w:type="paragraph" w:styleId="11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annotation subject"/>
    <w:basedOn w:val="7"/>
    <w:next w:val="7"/>
    <w:link w:val="30"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FollowedHyperlink"/>
    <w:qFormat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styleId="21">
    <w:name w:val="annotation reference"/>
    <w:qFormat/>
    <w:uiPriority w:val="0"/>
    <w:rPr>
      <w:sz w:val="21"/>
      <w:szCs w:val="21"/>
    </w:rPr>
  </w:style>
  <w:style w:type="character" w:customStyle="1" w:styleId="22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3">
    <w:name w:val="标题 2 字符"/>
    <w:basedOn w:val="16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4">
    <w:name w:val="标题 3 字符"/>
    <w:basedOn w:val="16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5">
    <w:name w:val="标题 9 字符"/>
    <w:basedOn w:val="16"/>
    <w:link w:val="5"/>
    <w:qFormat/>
    <w:uiPriority w:val="0"/>
    <w:rPr>
      <w:rFonts w:ascii="Arial" w:hAnsi="Arial" w:eastAsia="黑体" w:cs="Times New Roman"/>
      <w:szCs w:val="21"/>
    </w:rPr>
  </w:style>
  <w:style w:type="character" w:customStyle="1" w:styleId="26">
    <w:name w:val="页眉 字符"/>
    <w:basedOn w:val="16"/>
    <w:link w:val="1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文档结构图 字符"/>
    <w:basedOn w:val="16"/>
    <w:link w:val="6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28">
    <w:name w:val="1"/>
    <w:basedOn w:val="1"/>
    <w:next w:val="1"/>
    <w:qFormat/>
    <w:uiPriority w:val="0"/>
    <w:pPr>
      <w:tabs>
        <w:tab w:val="right" w:leader="dot" w:pos="9052"/>
      </w:tabs>
      <w:spacing w:line="360" w:lineRule="auto"/>
      <w:ind w:left="840" w:leftChars="400"/>
    </w:pPr>
    <w:rPr>
      <w:kern w:val="0"/>
      <w:sz w:val="32"/>
      <w:szCs w:val="32"/>
    </w:rPr>
  </w:style>
  <w:style w:type="character" w:customStyle="1" w:styleId="29">
    <w:name w:val="批注文字 字符"/>
    <w:basedOn w:val="16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0">
    <w:name w:val="批注主题 字符"/>
    <w:basedOn w:val="29"/>
    <w:link w:val="13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31">
    <w:name w:val="页脚 字符"/>
    <w:basedOn w:val="1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2">
    <w:name w:val="批注框文本 字符"/>
    <w:basedOn w:val="16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3">
    <w:name w:val="附录一级条标题"/>
    <w:basedOn w:val="1"/>
    <w:next w:val="1"/>
    <w:qFormat/>
    <w:uiPriority w:val="0"/>
    <w:pPr>
      <w:widowControl/>
      <w:numPr>
        <w:ilvl w:val="1"/>
        <w:numId w:val="1"/>
      </w:numPr>
      <w:tabs>
        <w:tab w:val="left" w:pos="360"/>
      </w:tabs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</w:rPr>
  </w:style>
  <w:style w:type="paragraph" w:customStyle="1" w:styleId="34">
    <w:name w:val="样式 标题 3 +"/>
    <w:basedOn w:val="4"/>
    <w:qFormat/>
    <w:uiPriority w:val="0"/>
    <w:rPr>
      <w:kern w:val="0"/>
      <w:sz w:val="28"/>
    </w:rPr>
  </w:style>
  <w:style w:type="paragraph" w:customStyle="1" w:styleId="35">
    <w:name w:val="附录二级条标题"/>
    <w:basedOn w:val="33"/>
    <w:next w:val="1"/>
    <w:qFormat/>
    <w:uiPriority w:val="0"/>
    <w:pPr>
      <w:numPr>
        <w:ilvl w:val="2"/>
      </w:numPr>
      <w:outlineLvl w:val="3"/>
    </w:pPr>
  </w:style>
  <w:style w:type="paragraph" w:customStyle="1" w:styleId="36">
    <w:name w:val="附录三级条标题"/>
    <w:basedOn w:val="35"/>
    <w:next w:val="1"/>
    <w:qFormat/>
    <w:uiPriority w:val="0"/>
    <w:pPr>
      <w:numPr>
        <w:ilvl w:val="3"/>
      </w:numPr>
      <w:outlineLvl w:val="4"/>
    </w:pPr>
    <w:rPr>
      <w:szCs w:val="20"/>
    </w:rPr>
  </w:style>
  <w:style w:type="paragraph" w:customStyle="1" w:styleId="37">
    <w:name w:val="附录四级条标题"/>
    <w:basedOn w:val="36"/>
    <w:next w:val="1"/>
    <w:qFormat/>
    <w:uiPriority w:val="0"/>
    <w:pPr>
      <w:numPr>
        <w:ilvl w:val="4"/>
      </w:numPr>
      <w:outlineLvl w:val="5"/>
    </w:pPr>
  </w:style>
  <w:style w:type="character" w:customStyle="1" w:styleId="38">
    <w:name w:val="日期 字符"/>
    <w:basedOn w:val="16"/>
    <w:link w:val="9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9">
    <w:name w:val="p15"/>
    <w:basedOn w:val="1"/>
    <w:qFormat/>
    <w:uiPriority w:val="0"/>
    <w:pPr>
      <w:widowControl/>
      <w:ind w:firstLine="420"/>
    </w:pPr>
    <w:rPr>
      <w:kern w:val="0"/>
      <w:szCs w:val="21"/>
    </w:rPr>
  </w:style>
  <w:style w:type="paragraph" w:customStyle="1" w:styleId="4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41">
    <w:name w:val="Char"/>
    <w:basedOn w:val="1"/>
    <w:autoRedefine/>
    <w:qFormat/>
    <w:uiPriority w:val="0"/>
    <w:pPr>
      <w:numPr>
        <w:ilvl w:val="0"/>
        <w:numId w:val="2"/>
      </w:numPr>
    </w:pPr>
  </w:style>
  <w:style w:type="paragraph" w:customStyle="1" w:styleId="42">
    <w:name w:val="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customStyle="1" w:styleId="43">
    <w:name w:val="页脚 字符1"/>
    <w:basedOn w:val="16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6d40456e-b323-429d-9693-bbe1e67bb9c3"/>
    <w:basedOn w:val="8"/>
    <w:link w:val="45"/>
    <w:qFormat/>
    <w:uiPriority w:val="0"/>
    <w:pPr>
      <w:numPr>
        <w:ilvl w:val="0"/>
        <w:numId w:val="3"/>
      </w:numPr>
      <w:spacing w:after="0"/>
      <w:jc w:val="left"/>
    </w:pPr>
    <w:rPr>
      <w:rFonts w:ascii="微软雅黑" w:hAnsi="微软雅黑" w:eastAsia="微软雅黑"/>
      <w:color w:val="000000"/>
      <w:sz w:val="22"/>
    </w:rPr>
  </w:style>
  <w:style w:type="character" w:customStyle="1" w:styleId="45">
    <w:name w:val="6d40456e-b323-429d-9693-bbe1e67bb9c3 字符"/>
    <w:link w:val="44"/>
    <w:qFormat/>
    <w:uiPriority w:val="0"/>
    <w:rPr>
      <w:rFonts w:ascii="微软雅黑" w:hAnsi="微软雅黑" w:eastAsia="微软雅黑" w:cs="Times New Roman"/>
      <w:color w:val="000000"/>
      <w:sz w:val="22"/>
      <w:szCs w:val="24"/>
    </w:rPr>
  </w:style>
  <w:style w:type="character" w:customStyle="1" w:styleId="46">
    <w:name w:val="正文文本 字符"/>
    <w:basedOn w:val="16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styleId="47">
    <w:name w:val="Placeholder Text"/>
    <w:basedOn w:val="16"/>
    <w:semiHidden/>
    <w:qFormat/>
    <w:uiPriority w:val="99"/>
    <w:rPr>
      <w:color w:val="666666"/>
    </w:rPr>
  </w:style>
  <w:style w:type="paragraph" w:customStyle="1" w:styleId="4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oleObject" Target="embeddings/oleObject20.bin"/><Relationship Id="rId3" Type="http://schemas.openxmlformats.org/officeDocument/2006/relationships/footer" Target="footer1.xml"/><Relationship Id="rId29" Type="http://schemas.openxmlformats.org/officeDocument/2006/relationships/oleObject" Target="embeddings/oleObject19.bin"/><Relationship Id="rId28" Type="http://schemas.openxmlformats.org/officeDocument/2006/relationships/oleObject" Target="embeddings/oleObject18.bin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941</Words>
  <Characters>1221</Characters>
  <Lines>47</Lines>
  <Paragraphs>13</Paragraphs>
  <TotalTime>2</TotalTime>
  <ScaleCrop>false</ScaleCrop>
  <LinksUpToDate>false</LinksUpToDate>
  <CharactersWithSpaces>1264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2024-09-30T06:41:00Z</dcterms:created>
  <dc:creator>陶 陶</dc:creator>
  <cp:lastModifiedBy>宇</cp:lastModifiedBy>
  <cp:lastPrinted>2024-09-18T03:24:00Z</cp:lastPrinted>
  <dcterms:modified xsi:type="dcterms:W3CDTF">2025-08-27T00:27:56Z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eyJoZGlkIjoiMmUwNDZmMmE3M2ViMjM1N2QwNDg4ODVmY2YyNjI4NDEiLCJ1c2VySWQiOiI0NTE0NTgyMTMifQ==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C5A04B7777B94FC291F337566DD93E98_12</vt:lpwstr>
  </property>
</Properties>
</file>